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79DC9C15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8769C2" w:rsidRPr="00605A10">
        <w:rPr>
          <w:rFonts w:ascii="Myriad Pro" w:hAnsi="Myriad Pro"/>
          <w:sz w:val="22"/>
          <w:szCs w:val="22"/>
          <w:lang w:val="en-CA"/>
        </w:rPr>
        <w:t>Ma</w:t>
      </w:r>
      <w:r w:rsidR="009A75AF">
        <w:rPr>
          <w:rFonts w:ascii="Myriad Pro" w:hAnsi="Myriad Pro"/>
          <w:sz w:val="22"/>
          <w:szCs w:val="22"/>
          <w:lang w:val="en-CA"/>
        </w:rPr>
        <w:t>y 3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2021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7EB5B720" w14:textId="62A31614" w:rsidR="00485F8F" w:rsidRPr="00605A10" w:rsidRDefault="00E546FA" w:rsidP="00605A10">
      <w:pPr>
        <w:spacing w:before="240"/>
        <w:rPr>
          <w:rStyle w:val="Hyperlink"/>
          <w:rFonts w:ascii="Myriad Pro" w:hAnsi="Myriad Pro" w:cs="Arial"/>
          <w:sz w:val="22"/>
          <w:szCs w:val="22"/>
          <w:u w:val="none"/>
        </w:rPr>
      </w:pPr>
      <w:r w:rsidRPr="00605A10">
        <w:rPr>
          <w:rFonts w:ascii="Myriad Pro" w:hAnsi="Myriad Pro"/>
          <w:sz w:val="22"/>
          <w:szCs w:val="22"/>
        </w:rPr>
        <w:t>Meeting Link</w:t>
      </w:r>
      <w:r w:rsidR="00647808" w:rsidRPr="00605A10">
        <w:rPr>
          <w:rFonts w:ascii="Myriad Pro" w:hAnsi="Myriad Pro"/>
          <w:sz w:val="22"/>
          <w:szCs w:val="22"/>
        </w:rPr>
        <w:t>:</w:t>
      </w:r>
      <w:r w:rsidR="00647808" w:rsidRPr="00605A10">
        <w:rPr>
          <w:rFonts w:ascii="Myriad Pro" w:hAnsi="Myriad Pro"/>
          <w:sz w:val="22"/>
          <w:szCs w:val="22"/>
        </w:rPr>
        <w:tab/>
      </w:r>
      <w:r w:rsidR="00740A49" w:rsidRPr="00605A10">
        <w:rPr>
          <w:rFonts w:ascii="Myriad Pro" w:hAnsi="Myriad Pro"/>
          <w:sz w:val="22"/>
          <w:szCs w:val="22"/>
        </w:rPr>
        <w:t>Virtual Zoom</w:t>
      </w:r>
      <w:r w:rsidR="00456A03" w:rsidRPr="00605A10">
        <w:rPr>
          <w:rFonts w:ascii="Myriad Pro" w:hAnsi="Myriad Pro"/>
          <w:sz w:val="22"/>
          <w:szCs w:val="22"/>
        </w:rPr>
        <w:t xml:space="preserve"> - </w:t>
      </w:r>
      <w:hyperlink r:id="rId8" w:history="1">
        <w:r w:rsidR="00485F8F" w:rsidRPr="00605A10">
          <w:rPr>
            <w:rStyle w:val="Hyperlink"/>
            <w:rFonts w:ascii="Myriad Pro" w:hAnsi="Myriad Pro" w:cs="Arial"/>
            <w:sz w:val="22"/>
            <w:szCs w:val="22"/>
          </w:rPr>
          <w:t>Click here to log in</w:t>
        </w:r>
      </w:hyperlink>
      <w:r w:rsidR="00605A10" w:rsidRPr="00605A10">
        <w:rPr>
          <w:rStyle w:val="Hyperlink"/>
          <w:rFonts w:ascii="Myriad Pro" w:hAnsi="Myriad Pro" w:cs="Arial"/>
          <w:sz w:val="22"/>
          <w:szCs w:val="22"/>
        </w:rPr>
        <w:t xml:space="preserve"> </w:t>
      </w:r>
      <w:r w:rsidR="00605A10" w:rsidRPr="00605A10">
        <w:rPr>
          <w:rStyle w:val="Hyperlink"/>
          <w:rFonts w:ascii="Myriad Pro" w:hAnsi="Myriad Pro" w:cs="Arial"/>
          <w:sz w:val="22"/>
          <w:szCs w:val="22"/>
          <w:u w:val="none"/>
        </w:rPr>
        <w:t>(Pass code – 387970)</w:t>
      </w:r>
    </w:p>
    <w:p w14:paraId="624C01C1" w14:textId="1CBB7226" w:rsidR="00605A10" w:rsidRPr="00605A10" w:rsidRDefault="00605A10" w:rsidP="00485F8F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615"/>
        <w:gridCol w:w="1694"/>
        <w:gridCol w:w="1144"/>
      </w:tblGrid>
      <w:tr w:rsidR="00647808" w:rsidRPr="00B16CCC" w14:paraId="148569BA" w14:textId="77777777" w:rsidTr="00B3016F">
        <w:trPr>
          <w:trHeight w:val="347"/>
        </w:trPr>
        <w:tc>
          <w:tcPr>
            <w:tcW w:w="537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94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B3016F">
        <w:trPr>
          <w:trHeight w:val="433"/>
        </w:trPr>
        <w:tc>
          <w:tcPr>
            <w:tcW w:w="537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615" w:type="dxa"/>
            <w:shd w:val="clear" w:color="auto" w:fill="auto"/>
          </w:tcPr>
          <w:p w14:paraId="72554558" w14:textId="77777777" w:rsidR="00A85231" w:rsidRPr="004A1E79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694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B3016F">
        <w:trPr>
          <w:trHeight w:val="415"/>
        </w:trPr>
        <w:tc>
          <w:tcPr>
            <w:tcW w:w="537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5E535C0" w14:textId="77777777" w:rsidR="00482505" w:rsidRPr="004A1E79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94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B3016F">
        <w:trPr>
          <w:trHeight w:val="427"/>
        </w:trPr>
        <w:tc>
          <w:tcPr>
            <w:tcW w:w="537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61E969B" w14:textId="77777777" w:rsidR="00FA6C43" w:rsidRPr="004A1E79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94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B3016F">
        <w:trPr>
          <w:trHeight w:val="419"/>
        </w:trPr>
        <w:tc>
          <w:tcPr>
            <w:tcW w:w="537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3D01AEDB" w14:textId="77777777" w:rsidR="00FA6C43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4A1E79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94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27805F92" w14:textId="7B957CA2" w:rsidR="00B61CAA" w:rsidRPr="004A1E79" w:rsidRDefault="001C65F0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5.</w:t>
            </w:r>
          </w:p>
        </w:tc>
        <w:tc>
          <w:tcPr>
            <w:tcW w:w="6615" w:type="dxa"/>
            <w:shd w:val="clear" w:color="auto" w:fill="auto"/>
          </w:tcPr>
          <w:p w14:paraId="4F54B53A" w14:textId="77777777" w:rsidR="0019130E" w:rsidRDefault="00A85231" w:rsidP="008769C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4A1E79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4A1E79">
              <w:rPr>
                <w:rFonts w:ascii="Myriad Pro" w:hAnsi="Myriad Pro"/>
                <w:sz w:val="22"/>
                <w:szCs w:val="22"/>
              </w:rPr>
              <w:t>Chris Moise</w:t>
            </w:r>
          </w:p>
          <w:p w14:paraId="02DF3497" w14:textId="6F2009D3" w:rsidR="00605A10" w:rsidRPr="00605A10" w:rsidRDefault="00605A10" w:rsidP="009A75AF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sz w:val="8"/>
                <w:szCs w:val="8"/>
              </w:rPr>
            </w:pPr>
          </w:p>
        </w:tc>
        <w:tc>
          <w:tcPr>
            <w:tcW w:w="1694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D8EF519" w14:textId="32E5E06B" w:rsidR="00B61CAA" w:rsidRPr="004A1E79" w:rsidRDefault="0097374B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15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19130E" w:rsidRPr="009476D6" w14:paraId="60827446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5CA580EE" w14:textId="09E08843" w:rsidR="0019130E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4500E57" w14:textId="1D755F59" w:rsidR="0097374B" w:rsidRPr="0097374B" w:rsidRDefault="0019130E" w:rsidP="0097374B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Staff Update – Curtis Ennis</w:t>
            </w:r>
          </w:p>
        </w:tc>
        <w:tc>
          <w:tcPr>
            <w:tcW w:w="1694" w:type="dxa"/>
            <w:shd w:val="clear" w:color="auto" w:fill="auto"/>
          </w:tcPr>
          <w:p w14:paraId="1E42FE51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2333AF" w14:textId="7B97C37A" w:rsidR="0019130E" w:rsidRPr="004A1E79" w:rsidRDefault="0097374B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0 min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9130E" w:rsidRPr="009476D6" w14:paraId="0A63B9EA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B38803" w14:textId="4F4F5EAF" w:rsidR="0019130E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0D7581C2" w14:textId="751AD45D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Centre of Excellence </w:t>
            </w:r>
            <w:r>
              <w:rPr>
                <w:rFonts w:ascii="Myriad Pro" w:hAnsi="Myriad Pro"/>
                <w:sz w:val="22"/>
                <w:szCs w:val="22"/>
              </w:rPr>
              <w:t xml:space="preserve">for Black Students </w:t>
            </w:r>
            <w:r w:rsidRPr="004A1E79">
              <w:rPr>
                <w:rFonts w:ascii="Myriad Pro" w:hAnsi="Myriad Pro"/>
                <w:sz w:val="22"/>
                <w:szCs w:val="22"/>
              </w:rPr>
              <w:t xml:space="preserve">Update – </w:t>
            </w:r>
            <w:r>
              <w:rPr>
                <w:rFonts w:ascii="Myriad Pro" w:hAnsi="Myriad Pro"/>
                <w:sz w:val="22"/>
                <w:szCs w:val="22"/>
              </w:rPr>
              <w:t xml:space="preserve">Jacqueline Spence, </w:t>
            </w:r>
            <w:r w:rsidRPr="004A1E79">
              <w:rPr>
                <w:rFonts w:ascii="Myriad Pro" w:hAnsi="Myriad Pro"/>
                <w:sz w:val="22"/>
                <w:szCs w:val="22"/>
              </w:rPr>
              <w:t>Karen Murray</w:t>
            </w:r>
          </w:p>
        </w:tc>
        <w:tc>
          <w:tcPr>
            <w:tcW w:w="1694" w:type="dxa"/>
            <w:shd w:val="clear" w:color="auto" w:fill="auto"/>
          </w:tcPr>
          <w:p w14:paraId="6FFF9876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B88CE6B" w14:textId="482E337C" w:rsidR="0019130E" w:rsidRPr="004A1E79" w:rsidRDefault="009A5AB3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30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9130E" w:rsidRPr="009476D6" w14:paraId="72D81FAA" w14:textId="77777777" w:rsidTr="001F7FA6">
        <w:trPr>
          <w:trHeight w:val="410"/>
        </w:trPr>
        <w:tc>
          <w:tcPr>
            <w:tcW w:w="537" w:type="dxa"/>
            <w:shd w:val="clear" w:color="auto" w:fill="auto"/>
          </w:tcPr>
          <w:p w14:paraId="6A1792DF" w14:textId="46F3D0DE" w:rsidR="0019130E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690B72BB" w14:textId="3DC4EA46" w:rsidR="0097374B" w:rsidRDefault="009A75AF" w:rsidP="009737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Ad-hoc Committees Recommendations</w:t>
            </w:r>
          </w:p>
          <w:p w14:paraId="21B20627" w14:textId="6355C1D8" w:rsidR="009A75AF" w:rsidRDefault="009A75AF" w:rsidP="009A75AF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SEL</w:t>
            </w:r>
          </w:p>
          <w:p w14:paraId="6BFA78F9" w14:textId="7EF3C11B" w:rsidR="009A75AF" w:rsidRDefault="009A75AF" w:rsidP="009A75AF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BSACAC Terms of Reference</w:t>
            </w:r>
          </w:p>
          <w:p w14:paraId="1BE1C75E" w14:textId="315B1DD1" w:rsidR="009A75AF" w:rsidRPr="009A75AF" w:rsidRDefault="009A75AF" w:rsidP="009A75AF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New Member Applications</w:t>
            </w:r>
          </w:p>
          <w:p w14:paraId="256A5273" w14:textId="215C3289" w:rsidR="0019130E" w:rsidRPr="001F7FA6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7AE9CCA8" w14:textId="2ED8E1E6" w:rsidR="0019130E" w:rsidRPr="001F7FA6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F50E700" w14:textId="77777777" w:rsidR="0019130E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  <w:p w14:paraId="765D42C9" w14:textId="63CED01F" w:rsidR="009A75AF" w:rsidRPr="004A1E79" w:rsidRDefault="009A5AB3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</w:t>
            </w:r>
            <w:r w:rsidR="009A75AF">
              <w:rPr>
                <w:rFonts w:ascii="Myriad Pro" w:hAnsi="Myriad Pro"/>
                <w:sz w:val="22"/>
                <w:szCs w:val="22"/>
              </w:rPr>
              <w:t>0 min.</w:t>
            </w:r>
          </w:p>
        </w:tc>
      </w:tr>
      <w:tr w:rsidR="001C65F0" w:rsidRPr="009476D6" w14:paraId="7F6BCC12" w14:textId="77777777" w:rsidTr="00B3016F">
        <w:trPr>
          <w:trHeight w:val="416"/>
        </w:trPr>
        <w:tc>
          <w:tcPr>
            <w:tcW w:w="537" w:type="dxa"/>
            <w:shd w:val="clear" w:color="auto" w:fill="auto"/>
          </w:tcPr>
          <w:p w14:paraId="2EDFEDB9" w14:textId="3FD97B61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</w:t>
            </w:r>
            <w:r w:rsidR="00B3016F">
              <w:rPr>
                <w:rFonts w:ascii="Myriad Pro" w:hAnsi="Myriad Pro"/>
                <w:sz w:val="22"/>
                <w:szCs w:val="22"/>
              </w:rPr>
              <w:t>0</w:t>
            </w:r>
            <w:r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FAF9005" w14:textId="4747C3E6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Other Business</w:t>
            </w: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120E33">
              <w:rPr>
                <w:rFonts w:ascii="Myriad Pro" w:hAnsi="Myriad Pro"/>
                <w:sz w:val="22"/>
                <w:szCs w:val="22"/>
              </w:rPr>
              <w:t xml:space="preserve">- </w:t>
            </w:r>
          </w:p>
        </w:tc>
        <w:tc>
          <w:tcPr>
            <w:tcW w:w="1694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6DCCB31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C65F0" w:rsidRPr="009476D6" w14:paraId="73CA2B9F" w14:textId="77777777" w:rsidTr="00B3016F">
        <w:trPr>
          <w:trHeight w:val="285"/>
        </w:trPr>
        <w:tc>
          <w:tcPr>
            <w:tcW w:w="537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94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50ECF0B9" w:rsidR="00A540A6" w:rsidRDefault="00D44774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7BF5226B" wp14:editId="12CD6D93">
            <wp:simplePos x="0" y="0"/>
            <wp:positionH relativeFrom="column">
              <wp:posOffset>381000</wp:posOffset>
            </wp:positionH>
            <wp:positionV relativeFrom="paragraph">
              <wp:posOffset>138430</wp:posOffset>
            </wp:positionV>
            <wp:extent cx="5114925" cy="1059180"/>
            <wp:effectExtent l="0" t="0" r="952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40A6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B524" w14:textId="77777777" w:rsidR="00586387" w:rsidRDefault="00586387" w:rsidP="00647808">
      <w:r>
        <w:separator/>
      </w:r>
    </w:p>
  </w:endnote>
  <w:endnote w:type="continuationSeparator" w:id="0">
    <w:p w14:paraId="04CCDDE1" w14:textId="77777777" w:rsidR="00586387" w:rsidRDefault="00586387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3EEA4" w14:textId="77777777" w:rsidR="00586387" w:rsidRDefault="00586387" w:rsidP="00647808">
      <w:r>
        <w:separator/>
      </w:r>
    </w:p>
  </w:footnote>
  <w:footnote w:type="continuationSeparator" w:id="0">
    <w:p w14:paraId="3AE7A49D" w14:textId="77777777" w:rsidR="00586387" w:rsidRDefault="00586387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C7EBC"/>
    <w:multiLevelType w:val="hybridMultilevel"/>
    <w:tmpl w:val="2878E15E"/>
    <w:lvl w:ilvl="0" w:tplc="0ED8EDF4">
      <w:start w:val="10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10910"/>
    <w:multiLevelType w:val="hybridMultilevel"/>
    <w:tmpl w:val="252C5D5A"/>
    <w:lvl w:ilvl="0" w:tplc="BAC4979E">
      <w:start w:val="7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26469"/>
    <w:multiLevelType w:val="hybridMultilevel"/>
    <w:tmpl w:val="9CAE62DC"/>
    <w:lvl w:ilvl="0" w:tplc="B9E0385C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3"/>
  </w:num>
  <w:num w:numId="4">
    <w:abstractNumId w:val="2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11"/>
  </w:num>
  <w:num w:numId="9">
    <w:abstractNumId w:val="23"/>
  </w:num>
  <w:num w:numId="10">
    <w:abstractNumId w:val="33"/>
  </w:num>
  <w:num w:numId="11">
    <w:abstractNumId w:val="10"/>
  </w:num>
  <w:num w:numId="12">
    <w:abstractNumId w:val="16"/>
  </w:num>
  <w:num w:numId="13">
    <w:abstractNumId w:val="26"/>
  </w:num>
  <w:num w:numId="14">
    <w:abstractNumId w:val="12"/>
  </w:num>
  <w:num w:numId="15">
    <w:abstractNumId w:val="32"/>
  </w:num>
  <w:num w:numId="16">
    <w:abstractNumId w:val="0"/>
  </w:num>
  <w:num w:numId="17">
    <w:abstractNumId w:val="37"/>
  </w:num>
  <w:num w:numId="18">
    <w:abstractNumId w:val="9"/>
  </w:num>
  <w:num w:numId="19">
    <w:abstractNumId w:val="13"/>
  </w:num>
  <w:num w:numId="20">
    <w:abstractNumId w:val="30"/>
  </w:num>
  <w:num w:numId="21">
    <w:abstractNumId w:val="38"/>
  </w:num>
  <w:num w:numId="22">
    <w:abstractNumId w:val="19"/>
  </w:num>
  <w:num w:numId="23">
    <w:abstractNumId w:val="18"/>
  </w:num>
  <w:num w:numId="24">
    <w:abstractNumId w:val="28"/>
  </w:num>
  <w:num w:numId="25">
    <w:abstractNumId w:val="35"/>
  </w:num>
  <w:num w:numId="26">
    <w:abstractNumId w:val="20"/>
  </w:num>
  <w:num w:numId="27">
    <w:abstractNumId w:val="1"/>
  </w:num>
  <w:num w:numId="28">
    <w:abstractNumId w:val="29"/>
  </w:num>
  <w:num w:numId="29">
    <w:abstractNumId w:val="40"/>
  </w:num>
  <w:num w:numId="30">
    <w:abstractNumId w:val="14"/>
  </w:num>
  <w:num w:numId="31">
    <w:abstractNumId w:val="8"/>
  </w:num>
  <w:num w:numId="32">
    <w:abstractNumId w:val="36"/>
  </w:num>
  <w:num w:numId="33">
    <w:abstractNumId w:val="4"/>
  </w:num>
  <w:num w:numId="34">
    <w:abstractNumId w:val="6"/>
  </w:num>
  <w:num w:numId="35">
    <w:abstractNumId w:val="15"/>
  </w:num>
  <w:num w:numId="36">
    <w:abstractNumId w:val="2"/>
  </w:num>
  <w:num w:numId="37">
    <w:abstractNumId w:val="22"/>
  </w:num>
  <w:num w:numId="38">
    <w:abstractNumId w:val="17"/>
  </w:num>
  <w:num w:numId="39">
    <w:abstractNumId w:val="7"/>
  </w:num>
  <w:num w:numId="40">
    <w:abstractNumId w:val="27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65F95"/>
    <w:rsid w:val="001714C1"/>
    <w:rsid w:val="00176821"/>
    <w:rsid w:val="0019130E"/>
    <w:rsid w:val="00196185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63CF"/>
    <w:rsid w:val="00456A03"/>
    <w:rsid w:val="00457ACC"/>
    <w:rsid w:val="00461958"/>
    <w:rsid w:val="0046248F"/>
    <w:rsid w:val="00475BA1"/>
    <w:rsid w:val="00475F0B"/>
    <w:rsid w:val="00476F67"/>
    <w:rsid w:val="00477E5E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387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F24"/>
    <w:rsid w:val="00622996"/>
    <w:rsid w:val="00642B4B"/>
    <w:rsid w:val="00642F36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E5478"/>
    <w:rsid w:val="006E6390"/>
    <w:rsid w:val="006F2F51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76D6"/>
    <w:rsid w:val="009566A5"/>
    <w:rsid w:val="009609C6"/>
    <w:rsid w:val="00967667"/>
    <w:rsid w:val="00967F5C"/>
    <w:rsid w:val="00970895"/>
    <w:rsid w:val="0097374B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A71E7"/>
    <w:rsid w:val="00AD30F9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53CE"/>
    <w:rsid w:val="00B70E16"/>
    <w:rsid w:val="00B745CF"/>
    <w:rsid w:val="00B7588E"/>
    <w:rsid w:val="00B815F7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689"/>
    <w:rsid w:val="00BD50B1"/>
    <w:rsid w:val="00BF19CB"/>
    <w:rsid w:val="00BF2B0E"/>
    <w:rsid w:val="00BF66D4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61F"/>
    <w:rsid w:val="00DF66E5"/>
    <w:rsid w:val="00E0092A"/>
    <w:rsid w:val="00E00E7D"/>
    <w:rsid w:val="00E175CC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A2D3C"/>
    <w:rsid w:val="00EC7CD4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10775041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Orekoya, Oyin</cp:lastModifiedBy>
  <cp:revision>3</cp:revision>
  <cp:lastPrinted>2020-01-14T21:11:00Z</cp:lastPrinted>
  <dcterms:created xsi:type="dcterms:W3CDTF">2021-04-23T13:26:00Z</dcterms:created>
  <dcterms:modified xsi:type="dcterms:W3CDTF">2021-04-23T19:53:00Z</dcterms:modified>
</cp:coreProperties>
</file>