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4D90" w14:textId="77777777" w:rsidR="008513EA" w:rsidRDefault="008513EA"/>
    <w:p w14:paraId="066B3D0C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5B119D85" w14:textId="77777777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290C38">
        <w:rPr>
          <w:rFonts w:eastAsia="Arial" w:cs="Arial"/>
          <w:b/>
          <w:szCs w:val="24"/>
        </w:rPr>
        <w:t>October 5, 2021</w:t>
      </w:r>
    </w:p>
    <w:p w14:paraId="4DD4DEF1" w14:textId="77777777" w:rsidR="009319DA" w:rsidRDefault="00D87A8D" w:rsidP="009319DA">
      <w:r>
        <w:t>Notes</w:t>
      </w:r>
    </w:p>
    <w:p w14:paraId="7A79A567" w14:textId="77777777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>
        <w:t>Oct. 5</w:t>
      </w:r>
      <w:r w:rsidRPr="006D142A">
        <w:t>, 2021 from 6:3</w:t>
      </w:r>
      <w:r w:rsidR="00384CC2">
        <w:t>3</w:t>
      </w:r>
      <w:r w:rsidRPr="006D142A">
        <w:t xml:space="preserve"> p.m. to 8:0</w:t>
      </w:r>
      <w:r w:rsidR="00384CC2">
        <w:t>6</w:t>
      </w:r>
      <w:r w:rsidRPr="006D142A">
        <w:t xml:space="preserve"> p.m. via Zoom Video Conferen</w:t>
      </w:r>
      <w:r w:rsidRPr="00631B6B">
        <w:t xml:space="preserve">cing, with </w:t>
      </w:r>
      <w:bookmarkStart w:id="0" w:name="_Hlk85460593"/>
      <w:r w:rsidRPr="00631B6B">
        <w:t>Sheila Cary-Meagher</w:t>
      </w:r>
      <w:r w:rsidR="000C353E">
        <w:t xml:space="preserve"> and Manna Wong</w:t>
      </w:r>
      <w:r>
        <w:t xml:space="preserve"> </w:t>
      </w:r>
      <w:bookmarkEnd w:id="0"/>
      <w:r w:rsidRPr="00631B6B">
        <w:t>presiding</w:t>
      </w:r>
      <w:r w:rsidRPr="00417E1F">
        <w:t>.</w:t>
      </w:r>
    </w:p>
    <w:p w14:paraId="27CB692A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418E36C4" w14:textId="77777777" w:rsidR="009546A2" w:rsidRPr="005D699F" w:rsidRDefault="009546A2" w:rsidP="009546A2">
      <w:pPr>
        <w:spacing w:line="240" w:lineRule="auto"/>
      </w:pPr>
      <w:bookmarkStart w:id="1" w:name="_Hlk85460665"/>
      <w:r w:rsidRPr="005D699F">
        <w:t xml:space="preserve">Sheila Cary-Meagher (Community Co-Chair), Manna Wong (Trustee, Ward 20), Michelle Aarts (Trustee, Ward 16), </w:t>
      </w:r>
      <w:r w:rsidR="000B29C6">
        <w:t>Ayana Buchanan</w:t>
      </w:r>
      <w:r w:rsidR="0090262C">
        <w:t xml:space="preserve"> </w:t>
      </w:r>
      <w:r w:rsidR="000B29C6">
        <w:t xml:space="preserve">(Community Member), </w:t>
      </w:r>
      <w:r w:rsidR="0090262C">
        <w:t xml:space="preserve">Valerie Endicott, </w:t>
      </w:r>
      <w:r w:rsidRPr="005D699F">
        <w:t xml:space="preserve">Anne Keary (Parent), </w:t>
      </w:r>
      <w:r w:rsidR="000B29C6">
        <w:t xml:space="preserve">Dan Maclean (Trustee, Ward 2), </w:t>
      </w:r>
      <w:r w:rsidRPr="005D699F">
        <w:t>Bob Spencer (Community Member),</w:t>
      </w:r>
      <w:r w:rsidR="00442759">
        <w:t xml:space="preserve"> Hilary Inwood (OISE)</w:t>
      </w:r>
      <w:r w:rsidRPr="005D699F">
        <w:t>.</w:t>
      </w:r>
    </w:p>
    <w:bookmarkEnd w:id="1"/>
    <w:p w14:paraId="07D7D420" w14:textId="77777777" w:rsidR="009546A2" w:rsidRPr="009546A2" w:rsidRDefault="009546A2" w:rsidP="009546A2">
      <w:pPr>
        <w:rPr>
          <w:lang w:val="en" w:eastAsia="en-CA"/>
        </w:rPr>
      </w:pPr>
      <w:r w:rsidRPr="005D699F">
        <w:t xml:space="preserve">Also present were: </w:t>
      </w:r>
      <w:bookmarkStart w:id="2" w:name="_Hlk85460710"/>
      <w:r w:rsidRPr="005D699F">
        <w:t xml:space="preserve">Richard Christie (TDSB), Kelly Crosthwaite (TDSB), Kristen Evers (TDSB), David Hawker-Budlovsky (TDSB), </w:t>
      </w:r>
      <w:r w:rsidR="000B29C6">
        <w:t xml:space="preserve">Peyton Leung (TDSB), Pam Miller (TDSB), </w:t>
      </w:r>
      <w:r w:rsidRPr="005D699F">
        <w:t>Linda Naccarato (TDSB), Gigi Shanks (TDSB)</w:t>
      </w:r>
      <w:r w:rsidR="000C353E">
        <w:t>,</w:t>
      </w:r>
    </w:p>
    <w:bookmarkEnd w:id="2"/>
    <w:p w14:paraId="7DF177B5" w14:textId="77777777" w:rsidR="009319DA" w:rsidRDefault="009319DA" w:rsidP="004F51F7">
      <w:pPr>
        <w:pStyle w:val="Heading2"/>
      </w:pPr>
      <w:r w:rsidRPr="009319DA">
        <w:t>Regrets:</w:t>
      </w:r>
    </w:p>
    <w:p w14:paraId="338A61C7" w14:textId="77777777" w:rsidR="009546A2" w:rsidRPr="009546A2" w:rsidRDefault="009546A2" w:rsidP="009546A2">
      <w:pPr>
        <w:pStyle w:val="PlainText"/>
        <w:rPr>
          <w:rFonts w:ascii="Arial" w:hAnsi="Arial" w:cs="Arial"/>
          <w:sz w:val="24"/>
          <w:szCs w:val="24"/>
        </w:rPr>
      </w:pPr>
      <w:bookmarkStart w:id="3" w:name="_Hlk85460843"/>
      <w:r w:rsidRPr="009546A2">
        <w:rPr>
          <w:rFonts w:ascii="Arial" w:hAnsi="Arial" w:cs="Arial"/>
          <w:sz w:val="24"/>
          <w:szCs w:val="24"/>
        </w:rPr>
        <w:t>Barbara Falby (For Our Grandchildren)</w:t>
      </w:r>
    </w:p>
    <w:bookmarkEnd w:id="3"/>
    <w:p w14:paraId="5ED5CF0E" w14:textId="77777777" w:rsidR="009319DA" w:rsidRDefault="002B02AD" w:rsidP="00407729">
      <w:pPr>
        <w:pBdr>
          <w:bottom w:val="single" w:sz="4" w:space="1" w:color="auto"/>
        </w:pBdr>
        <w:rPr>
          <w:rFonts w:cs="Arial"/>
          <w:szCs w:val="24"/>
        </w:rPr>
      </w:pPr>
      <w:r w:rsidRPr="002B02AD"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05F8D0D" w14:textId="77777777" w:rsidTr="002765A9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4B753C07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6B8CC09E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11C652B4" w14:textId="77777777" w:rsidR="009319DA" w:rsidRPr="000C353E" w:rsidRDefault="009319DA" w:rsidP="000F39DF">
            <w:pPr>
              <w:rPr>
                <w:b/>
              </w:rPr>
            </w:pPr>
            <w:r w:rsidRPr="000C353E">
              <w:rPr>
                <w:b/>
              </w:rPr>
              <w:t>RECOMMENDATION</w:t>
            </w:r>
            <w:r w:rsidR="00BF4A39" w:rsidRPr="000C353E">
              <w:rPr>
                <w:b/>
              </w:rPr>
              <w:t>S</w:t>
            </w:r>
            <w:r w:rsidR="001A0BC5" w:rsidRPr="000C353E">
              <w:rPr>
                <w:b/>
              </w:rPr>
              <w:t xml:space="preserve"> </w:t>
            </w:r>
            <w:r w:rsidRPr="000C353E">
              <w:rPr>
                <w:b/>
              </w:rPr>
              <w:t>/</w:t>
            </w:r>
            <w:r w:rsidR="001A0BC5" w:rsidRPr="000C353E">
              <w:rPr>
                <w:b/>
              </w:rPr>
              <w:t xml:space="preserve"> </w:t>
            </w:r>
            <w:r w:rsidRPr="000C353E">
              <w:rPr>
                <w:b/>
              </w:rPr>
              <w:t>MOTION</w:t>
            </w:r>
            <w:r w:rsidR="00BF4A39" w:rsidRPr="000C353E">
              <w:rPr>
                <w:b/>
              </w:rPr>
              <w:t>S</w:t>
            </w:r>
          </w:p>
        </w:tc>
      </w:tr>
      <w:tr w:rsidR="002B02AD" w14:paraId="1DFB7835" w14:textId="77777777" w:rsidTr="00E54075">
        <w:tc>
          <w:tcPr>
            <w:tcW w:w="4872" w:type="dxa"/>
          </w:tcPr>
          <w:p w14:paraId="6CB2CE0A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229736D2" w14:textId="77777777" w:rsidR="002B02AD" w:rsidRPr="000861B3" w:rsidRDefault="001A7FA7" w:rsidP="00C86CFC">
            <w:pPr>
              <w:pStyle w:val="ListParagraph"/>
            </w:pPr>
            <w:r w:rsidRPr="00322591">
              <w:rPr>
                <w:rFonts w:cs="Arial"/>
                <w:szCs w:val="24"/>
              </w:rPr>
              <w:t xml:space="preserve">Meeting called to </w:t>
            </w:r>
            <w:r w:rsidRPr="006D142A">
              <w:rPr>
                <w:rFonts w:cs="Arial"/>
                <w:szCs w:val="24"/>
              </w:rPr>
              <w:t>order at 6:</w:t>
            </w:r>
            <w:r w:rsidR="00442759">
              <w:rPr>
                <w:rFonts w:cs="Arial"/>
                <w:szCs w:val="24"/>
              </w:rPr>
              <w:t xml:space="preserve">33 </w:t>
            </w:r>
            <w:r w:rsidRPr="006D142A">
              <w:rPr>
                <w:rFonts w:cs="Arial"/>
                <w:szCs w:val="24"/>
              </w:rPr>
              <w:t>p.m.</w:t>
            </w:r>
          </w:p>
        </w:tc>
        <w:tc>
          <w:tcPr>
            <w:tcW w:w="2898" w:type="dxa"/>
          </w:tcPr>
          <w:p w14:paraId="1E1EC86B" w14:textId="77777777" w:rsidR="002B02AD" w:rsidRPr="009319DA" w:rsidRDefault="002B02AD" w:rsidP="009319DA"/>
        </w:tc>
      </w:tr>
      <w:tr w:rsidR="009546A2" w14:paraId="2C0FFB25" w14:textId="77777777" w:rsidTr="00E54075">
        <w:tc>
          <w:tcPr>
            <w:tcW w:w="4872" w:type="dxa"/>
          </w:tcPr>
          <w:p w14:paraId="533F39BB" w14:textId="77777777" w:rsidR="009546A2" w:rsidRPr="001A7FA7" w:rsidRDefault="009546A2" w:rsidP="009546A2">
            <w:r w:rsidRPr="001A7FA7">
              <w:t>Land Acknowledgement</w:t>
            </w:r>
          </w:p>
        </w:tc>
        <w:tc>
          <w:tcPr>
            <w:tcW w:w="6846" w:type="dxa"/>
          </w:tcPr>
          <w:p w14:paraId="3B96A8C7" w14:textId="77777777" w:rsidR="009546A2" w:rsidRPr="000861B3" w:rsidRDefault="009546A2" w:rsidP="009546A2">
            <w:pPr>
              <w:pStyle w:val="ListParagraph"/>
            </w:pPr>
            <w:r>
              <w:t xml:space="preserve">The meeting began with </w:t>
            </w:r>
            <w:r w:rsidRPr="00756A87">
              <w:t>a Land Acknowledgement.</w:t>
            </w:r>
          </w:p>
        </w:tc>
        <w:tc>
          <w:tcPr>
            <w:tcW w:w="2898" w:type="dxa"/>
          </w:tcPr>
          <w:p w14:paraId="1DD5BF13" w14:textId="77777777" w:rsidR="009546A2" w:rsidRPr="009319DA" w:rsidRDefault="009546A2" w:rsidP="009546A2"/>
        </w:tc>
      </w:tr>
      <w:tr w:rsidR="000B29C6" w14:paraId="47F09890" w14:textId="77777777" w:rsidTr="00E54075">
        <w:tc>
          <w:tcPr>
            <w:tcW w:w="4872" w:type="dxa"/>
          </w:tcPr>
          <w:p w14:paraId="7C22799A" w14:textId="77777777" w:rsidR="000B29C6" w:rsidRPr="001A7FA7" w:rsidRDefault="000B29C6" w:rsidP="000B29C6">
            <w:r w:rsidRPr="001A7FA7">
              <w:rPr>
                <w:rFonts w:cs="Arial"/>
                <w:color w:val="000000"/>
              </w:rPr>
              <w:t>Approval of May 4, 2021 minutes</w:t>
            </w:r>
          </w:p>
        </w:tc>
        <w:tc>
          <w:tcPr>
            <w:tcW w:w="6846" w:type="dxa"/>
          </w:tcPr>
          <w:p w14:paraId="51A00DDE" w14:textId="77777777" w:rsidR="000B29C6" w:rsidRPr="000861B3" w:rsidRDefault="000B29C6" w:rsidP="000B29C6">
            <w:pPr>
              <w:pStyle w:val="ListParagraph"/>
            </w:pPr>
            <w:r>
              <w:t>May 4, 2021</w:t>
            </w:r>
            <w:r w:rsidRPr="00045B65">
              <w:t xml:space="preserve"> meeting minutes were approved.</w:t>
            </w:r>
          </w:p>
        </w:tc>
        <w:tc>
          <w:tcPr>
            <w:tcW w:w="2898" w:type="dxa"/>
          </w:tcPr>
          <w:p w14:paraId="0440E07C" w14:textId="77777777" w:rsidR="000B29C6" w:rsidRPr="009319DA" w:rsidRDefault="000B29C6" w:rsidP="000B29C6"/>
        </w:tc>
      </w:tr>
      <w:tr w:rsidR="000B29C6" w14:paraId="06E8B5FE" w14:textId="77777777" w:rsidTr="00E54075">
        <w:tc>
          <w:tcPr>
            <w:tcW w:w="4872" w:type="dxa"/>
          </w:tcPr>
          <w:p w14:paraId="7419A9E5" w14:textId="77777777" w:rsidR="000B29C6" w:rsidRPr="001A7FA7" w:rsidRDefault="000B29C6" w:rsidP="00D70F1A">
            <w:pPr>
              <w:pStyle w:val="NormalWeb"/>
              <w:spacing w:before="0" w:beforeAutospacing="0" w:after="0" w:afterAutospacing="0"/>
            </w:pPr>
            <w:r w:rsidRPr="001A7FA7">
              <w:rPr>
                <w:rFonts w:ascii="Arial" w:hAnsi="Arial" w:cs="Arial"/>
                <w:color w:val="000000"/>
              </w:rPr>
              <w:lastRenderedPageBreak/>
              <w:t>Review: May 4 input on 2021/22 environmental priorities</w:t>
            </w:r>
          </w:p>
        </w:tc>
        <w:tc>
          <w:tcPr>
            <w:tcW w:w="6846" w:type="dxa"/>
          </w:tcPr>
          <w:p w14:paraId="1797B160" w14:textId="77777777" w:rsidR="000C353E" w:rsidRDefault="000C353E" w:rsidP="000C353E">
            <w:pPr>
              <w:pStyle w:val="ListParagraph"/>
            </w:pPr>
            <w:r>
              <w:t>Feedback provided by ESCAC at it’s May 4, 2021 meeting on 2021/22 environmental priorities was reviewed.</w:t>
            </w:r>
          </w:p>
          <w:p w14:paraId="317C7B07" w14:textId="77777777" w:rsidR="000B29C6" w:rsidRPr="009319DA" w:rsidRDefault="000B29C6" w:rsidP="00D70F1A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898" w:type="dxa"/>
          </w:tcPr>
          <w:p w14:paraId="0F889C81" w14:textId="77777777" w:rsidR="000B29C6" w:rsidRPr="009319DA" w:rsidRDefault="000B29C6" w:rsidP="000B29C6"/>
        </w:tc>
      </w:tr>
      <w:tr w:rsidR="000B29C6" w14:paraId="71C856B0" w14:textId="77777777" w:rsidTr="00E54075">
        <w:tc>
          <w:tcPr>
            <w:tcW w:w="4872" w:type="dxa"/>
          </w:tcPr>
          <w:p w14:paraId="289A7C6F" w14:textId="77777777" w:rsidR="000B29C6" w:rsidRPr="001A7FA7" w:rsidRDefault="000B29C6" w:rsidP="000B29C6">
            <w:bookmarkStart w:id="4" w:name="_Hlk85461425"/>
            <w:r w:rsidRPr="001A7FA7">
              <w:rPr>
                <w:rFonts w:cs="Arial"/>
                <w:color w:val="000000"/>
              </w:rPr>
              <w:t>Annual Report 2021: Climate Action</w:t>
            </w:r>
          </w:p>
        </w:tc>
        <w:tc>
          <w:tcPr>
            <w:tcW w:w="6846" w:type="dxa"/>
          </w:tcPr>
          <w:p w14:paraId="49A479C7" w14:textId="77777777" w:rsidR="000C353E" w:rsidRDefault="000C353E" w:rsidP="000B29C6">
            <w:pPr>
              <w:pStyle w:val="ListParagraph"/>
            </w:pPr>
            <w:bookmarkStart w:id="5" w:name="_Hlk85543126"/>
            <w:r>
              <w:t>ESCAC provided feedback on draft climate actions to be featured in the 2021 Board report on climate action.</w:t>
            </w:r>
          </w:p>
          <w:p w14:paraId="45E09DC3" w14:textId="77777777" w:rsidR="000B29C6" w:rsidRDefault="002C20E5" w:rsidP="000C353E">
            <w:pPr>
              <w:pStyle w:val="ListParagraph"/>
              <w:ind w:left="794"/>
            </w:pPr>
            <w:r>
              <w:t>Discussion around electric vehicles</w:t>
            </w:r>
            <w:r w:rsidR="000C353E">
              <w:t>:</w:t>
            </w:r>
            <w:r w:rsidR="00D70F1A">
              <w:t xml:space="preserve"> request for</w:t>
            </w:r>
            <w:r>
              <w:t xml:space="preserve"> information </w:t>
            </w:r>
            <w:r w:rsidR="00D70F1A">
              <w:t xml:space="preserve">regarding </w:t>
            </w:r>
            <w:r>
              <w:t>school bus fleet and emissions</w:t>
            </w:r>
          </w:p>
          <w:p w14:paraId="55110CD8" w14:textId="77777777" w:rsidR="002C20E5" w:rsidRDefault="00D70F1A" w:rsidP="000C353E">
            <w:pPr>
              <w:pStyle w:val="ListParagraph"/>
              <w:ind w:left="794"/>
            </w:pPr>
            <w:r>
              <w:t>Discussion around the i</w:t>
            </w:r>
            <w:r w:rsidR="002C20E5">
              <w:t>mprovement of building standards, considerations for window design and targeted retrofits</w:t>
            </w:r>
          </w:p>
          <w:p w14:paraId="0A268D7E" w14:textId="77777777" w:rsidR="002C20E5" w:rsidRDefault="00D70F1A" w:rsidP="000C353E">
            <w:pPr>
              <w:pStyle w:val="ListParagraph"/>
              <w:ind w:left="794"/>
            </w:pPr>
            <w:r>
              <w:t>Suggestion to include principals as well as caretakers in t</w:t>
            </w:r>
            <w:r w:rsidR="002C20E5">
              <w:t>raining</w:t>
            </w:r>
            <w:r w:rsidR="00560156">
              <w:t xml:space="preserve"> on building efficiency and </w:t>
            </w:r>
            <w:r>
              <w:t xml:space="preserve">operational </w:t>
            </w:r>
            <w:r w:rsidR="00560156">
              <w:t xml:space="preserve">excellence </w:t>
            </w:r>
          </w:p>
          <w:bookmarkEnd w:id="5"/>
          <w:p w14:paraId="040ED825" w14:textId="77777777" w:rsidR="00560156" w:rsidRPr="009319DA" w:rsidRDefault="00560156" w:rsidP="00560156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898" w:type="dxa"/>
          </w:tcPr>
          <w:p w14:paraId="4886ADDA" w14:textId="77777777" w:rsidR="000B29C6" w:rsidRPr="009319DA" w:rsidRDefault="000B29C6" w:rsidP="000B29C6"/>
        </w:tc>
      </w:tr>
      <w:bookmarkEnd w:id="4"/>
      <w:tr w:rsidR="000B29C6" w14:paraId="7D86F7FC" w14:textId="77777777" w:rsidTr="00E54075">
        <w:tc>
          <w:tcPr>
            <w:tcW w:w="4872" w:type="dxa"/>
          </w:tcPr>
          <w:p w14:paraId="2DB29D9E" w14:textId="77777777" w:rsidR="000B29C6" w:rsidRPr="001A7FA7" w:rsidRDefault="000B29C6" w:rsidP="000B29C6">
            <w:r w:rsidRPr="001A7FA7">
              <w:rPr>
                <w:rFonts w:cs="Arial"/>
                <w:color w:val="000000"/>
              </w:rPr>
              <w:t>TTC Riders</w:t>
            </w:r>
          </w:p>
        </w:tc>
        <w:tc>
          <w:tcPr>
            <w:tcW w:w="6846" w:type="dxa"/>
          </w:tcPr>
          <w:p w14:paraId="38557DA8" w14:textId="77777777" w:rsidR="000B29C6" w:rsidRDefault="00560156" w:rsidP="000B29C6">
            <w:pPr>
              <w:pStyle w:val="ListParagraph"/>
            </w:pPr>
            <w:bookmarkStart w:id="6" w:name="_Hlk85461471"/>
            <w:r>
              <w:t>Presentation by Shelagh Pizey-Allen from TTC Riders</w:t>
            </w:r>
            <w:r w:rsidR="000C353E">
              <w:t>.</w:t>
            </w:r>
          </w:p>
          <w:p w14:paraId="42C265E8" w14:textId="77777777" w:rsidR="00D70F1A" w:rsidRDefault="00560156" w:rsidP="00D70F1A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 xml:space="preserve">Information shared around petitions to support increased transit service </w:t>
            </w:r>
            <w:r w:rsidR="006C40B6">
              <w:t>for students.</w:t>
            </w:r>
          </w:p>
          <w:bookmarkEnd w:id="6"/>
          <w:p w14:paraId="36CC40E3" w14:textId="77777777" w:rsidR="006C40B6" w:rsidRPr="009319DA" w:rsidRDefault="006C40B6" w:rsidP="00560156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898" w:type="dxa"/>
          </w:tcPr>
          <w:p w14:paraId="54E20281" w14:textId="77777777" w:rsidR="000B29C6" w:rsidRPr="009319DA" w:rsidRDefault="000B29C6" w:rsidP="000B29C6"/>
        </w:tc>
      </w:tr>
      <w:tr w:rsidR="000B29C6" w14:paraId="4A1E7EDF" w14:textId="77777777" w:rsidTr="00E54075">
        <w:tc>
          <w:tcPr>
            <w:tcW w:w="4872" w:type="dxa"/>
          </w:tcPr>
          <w:p w14:paraId="3DE478AE" w14:textId="77777777" w:rsidR="000B29C6" w:rsidRPr="001A7FA7" w:rsidRDefault="000B29C6" w:rsidP="000B29C6">
            <w:r w:rsidRPr="001A7FA7">
              <w:t>Member Updates/Announcements</w:t>
            </w:r>
          </w:p>
        </w:tc>
        <w:tc>
          <w:tcPr>
            <w:tcW w:w="6846" w:type="dxa"/>
          </w:tcPr>
          <w:p w14:paraId="00F6880D" w14:textId="77777777" w:rsidR="000C353E" w:rsidRDefault="006C40B6" w:rsidP="000B29C6">
            <w:pPr>
              <w:pStyle w:val="ListParagraph"/>
            </w:pPr>
            <w:r>
              <w:t>Eco-Fair</w:t>
            </w:r>
            <w:r w:rsidR="00D70F1A">
              <w:t xml:space="preserve"> Toronto</w:t>
            </w:r>
            <w:r>
              <w:t xml:space="preserve"> </w:t>
            </w:r>
            <w:r w:rsidR="000C353E">
              <w:t xml:space="preserve">will be hosted </w:t>
            </w:r>
            <w:r>
              <w:t>online (Nov. 4</w:t>
            </w:r>
            <w:r w:rsidR="00D70F1A">
              <w:t xml:space="preserve"> - 7</w:t>
            </w:r>
            <w:r>
              <w:t>)</w:t>
            </w:r>
            <w:r w:rsidR="000C353E">
              <w:t xml:space="preserve">: </w:t>
            </w:r>
            <w:hyperlink r:id="rId7" w:history="1">
              <w:r w:rsidR="000C353E" w:rsidRPr="00E319FE">
                <w:rPr>
                  <w:rStyle w:val="Hyperlink"/>
                </w:rPr>
                <w:t>https://ecofairtoronto.org/</w:t>
              </w:r>
            </w:hyperlink>
          </w:p>
          <w:p w14:paraId="0CCE103A" w14:textId="77777777" w:rsidR="000B29C6" w:rsidRDefault="006C40B6" w:rsidP="000C353E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  <w:p w14:paraId="585128B5" w14:textId="77777777" w:rsidR="000C353E" w:rsidRDefault="006C40B6" w:rsidP="000B29C6">
            <w:pPr>
              <w:pStyle w:val="ListParagraph"/>
            </w:pPr>
            <w:r>
              <w:t>Hilary Inwood: EcoSchools</w:t>
            </w:r>
            <w:r w:rsidR="000C353E">
              <w:t xml:space="preserve">/OISE Fall 2021 </w:t>
            </w:r>
            <w:r>
              <w:t>webinars have launched</w:t>
            </w:r>
            <w:r w:rsidR="000C353E">
              <w:t xml:space="preserve">: </w:t>
            </w:r>
            <w:hyperlink r:id="rId8" w:history="1">
              <w:r w:rsidR="000C353E" w:rsidRPr="00E319FE">
                <w:rPr>
                  <w:rStyle w:val="Hyperlink"/>
                </w:rPr>
                <w:t>https://www.tdsb.on.ca/environment/Home/education/Professional-Development/Webinars-Events</w:t>
              </w:r>
            </w:hyperlink>
            <w:r w:rsidR="000C353E">
              <w:t xml:space="preserve"> </w:t>
            </w:r>
          </w:p>
          <w:p w14:paraId="3C939077" w14:textId="77777777" w:rsidR="000C353E" w:rsidRDefault="000C353E" w:rsidP="000C353E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041A0C30" w14:textId="77777777" w:rsidR="006C40B6" w:rsidRPr="009064BD" w:rsidRDefault="000C353E" w:rsidP="000B29C6">
            <w:pPr>
              <w:pStyle w:val="ListParagraph"/>
            </w:pPr>
            <w:r>
              <w:t>U</w:t>
            </w:r>
            <w:r w:rsidR="006C40B6">
              <w:t xml:space="preserve">pcoming annual </w:t>
            </w:r>
            <w:r>
              <w:t xml:space="preserve">TDSB/OISE Environment and </w:t>
            </w:r>
            <w:r>
              <w:lastRenderedPageBreak/>
              <w:t>Sustainability Education</w:t>
            </w:r>
            <w:r w:rsidR="00D70F1A">
              <w:t xml:space="preserve"> </w:t>
            </w:r>
            <w:r w:rsidR="006C40B6">
              <w:t>conference will be held on Nov.6</w:t>
            </w:r>
            <w:r>
              <w:t xml:space="preserve">. Registration is free for ESCAC members. Contact </w:t>
            </w:r>
            <w:hyperlink r:id="rId9" w:history="1">
              <w:r w:rsidRPr="00E319FE">
                <w:rPr>
                  <w:rStyle w:val="Hyperlink"/>
                </w:rPr>
                <w:t>Kristen.evers@tdsb.on.ca</w:t>
              </w:r>
            </w:hyperlink>
            <w:r>
              <w:t xml:space="preserve"> for details. </w:t>
            </w:r>
          </w:p>
        </w:tc>
        <w:tc>
          <w:tcPr>
            <w:tcW w:w="2898" w:type="dxa"/>
          </w:tcPr>
          <w:p w14:paraId="76523093" w14:textId="77777777" w:rsidR="000B29C6" w:rsidRPr="000A7A1E" w:rsidRDefault="000B29C6" w:rsidP="000B29C6"/>
        </w:tc>
      </w:tr>
      <w:tr w:rsidR="000B29C6" w14:paraId="3124EC09" w14:textId="77777777" w:rsidTr="00E54075">
        <w:tc>
          <w:tcPr>
            <w:tcW w:w="4872" w:type="dxa"/>
          </w:tcPr>
          <w:p w14:paraId="0EF61A70" w14:textId="77777777" w:rsidR="000B29C6" w:rsidRPr="001A7FA7" w:rsidRDefault="000B29C6" w:rsidP="000B29C6">
            <w:r w:rsidRPr="001A7FA7">
              <w:t>Next Meeting Date</w:t>
            </w:r>
          </w:p>
        </w:tc>
        <w:tc>
          <w:tcPr>
            <w:tcW w:w="6846" w:type="dxa"/>
          </w:tcPr>
          <w:p w14:paraId="126103F8" w14:textId="77777777" w:rsidR="000B29C6" w:rsidRPr="009064BD" w:rsidRDefault="000C353E" w:rsidP="000B29C6">
            <w:pPr>
              <w:pStyle w:val="ListParagraph"/>
            </w:pPr>
            <w:r>
              <w:t xml:space="preserve">Tuesday, </w:t>
            </w:r>
            <w:r w:rsidR="000B29C6">
              <w:t>Nov. 2: 6:30 – 8:00pm</w:t>
            </w:r>
          </w:p>
        </w:tc>
        <w:tc>
          <w:tcPr>
            <w:tcW w:w="2898" w:type="dxa"/>
          </w:tcPr>
          <w:p w14:paraId="2EE20D4C" w14:textId="77777777" w:rsidR="000B29C6" w:rsidRPr="009319DA" w:rsidRDefault="000B29C6" w:rsidP="000B29C6"/>
        </w:tc>
      </w:tr>
      <w:tr w:rsidR="000B29C6" w14:paraId="553A971C" w14:textId="77777777" w:rsidTr="00E54075">
        <w:tc>
          <w:tcPr>
            <w:tcW w:w="4872" w:type="dxa"/>
            <w:shd w:val="clear" w:color="auto" w:fill="D6E3BC" w:themeFill="accent3" w:themeFillTint="66"/>
          </w:tcPr>
          <w:p w14:paraId="707FDD6C" w14:textId="77777777" w:rsidR="000B29C6" w:rsidRPr="002B02AD" w:rsidRDefault="000B29C6" w:rsidP="000B29C6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745E755D" w14:textId="77777777" w:rsidR="000B29C6" w:rsidRPr="001A0BC5" w:rsidRDefault="006C40B6" w:rsidP="000B29C6">
            <w:pPr>
              <w:pStyle w:val="List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Oct. </w:t>
            </w:r>
            <w:r w:rsidR="002C3691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 2021 </w:t>
            </w:r>
            <w:r w:rsidR="00E21312">
              <w:rPr>
                <w:b/>
                <w:color w:val="000000" w:themeColor="text1"/>
              </w:rPr>
              <w:t>–</w:t>
            </w:r>
            <w:r>
              <w:rPr>
                <w:b/>
                <w:color w:val="000000" w:themeColor="text1"/>
              </w:rPr>
              <w:t xml:space="preserve"> </w:t>
            </w:r>
            <w:r w:rsidR="00E21312">
              <w:rPr>
                <w:b/>
                <w:color w:val="000000" w:themeColor="text1"/>
              </w:rPr>
              <w:t>8:06pm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66C957CF" w14:textId="77777777" w:rsidR="000B29C6" w:rsidRPr="001A0BC5" w:rsidRDefault="000B29C6" w:rsidP="000B29C6">
            <w:pPr>
              <w:rPr>
                <w:b/>
                <w:color w:val="000000" w:themeColor="text1"/>
              </w:rPr>
            </w:pPr>
          </w:p>
        </w:tc>
      </w:tr>
    </w:tbl>
    <w:p w14:paraId="43C3F120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64F4D" w14:textId="77777777" w:rsidR="00797162" w:rsidRDefault="00797162" w:rsidP="009319DA">
      <w:pPr>
        <w:spacing w:before="0" w:after="0" w:line="240" w:lineRule="auto"/>
      </w:pPr>
      <w:r>
        <w:separator/>
      </w:r>
    </w:p>
  </w:endnote>
  <w:endnote w:type="continuationSeparator" w:id="0">
    <w:p w14:paraId="4B9FF1FF" w14:textId="77777777" w:rsidR="00797162" w:rsidRDefault="00797162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5EB9A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63E4D" w14:textId="77777777" w:rsidR="00797162" w:rsidRDefault="00797162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E326207" w14:textId="77777777" w:rsidR="00797162" w:rsidRDefault="00797162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262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D67C744" wp14:editId="01543840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DA8148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269E7C34" w14:textId="77777777" w:rsidR="00A66C9E" w:rsidRDefault="00A66C9E">
    <w:pPr>
      <w:pStyle w:val="Header"/>
    </w:pPr>
  </w:p>
  <w:p w14:paraId="290F9096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C24D0"/>
    <w:multiLevelType w:val="hybridMultilevel"/>
    <w:tmpl w:val="5B86C128"/>
    <w:lvl w:ilvl="0" w:tplc="A15258F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7"/>
  </w:num>
  <w:num w:numId="10">
    <w:abstractNumId w:val="5"/>
  </w:num>
  <w:num w:numId="11">
    <w:abstractNumId w:val="9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3"/>
  </w:num>
  <w:num w:numId="19">
    <w:abstractNumId w:val="8"/>
  </w:num>
  <w:num w:numId="20">
    <w:abstractNumId w:val="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797162"/>
    <w:rsid w:val="000048D1"/>
    <w:rsid w:val="00025D69"/>
    <w:rsid w:val="000A7A1E"/>
    <w:rsid w:val="000B29C6"/>
    <w:rsid w:val="000C353E"/>
    <w:rsid w:val="001329C0"/>
    <w:rsid w:val="00154175"/>
    <w:rsid w:val="00195117"/>
    <w:rsid w:val="001A0BC5"/>
    <w:rsid w:val="001A7FA7"/>
    <w:rsid w:val="002765A9"/>
    <w:rsid w:val="00290C38"/>
    <w:rsid w:val="002A6D4C"/>
    <w:rsid w:val="002B02AD"/>
    <w:rsid w:val="002C1F38"/>
    <w:rsid w:val="002C20E5"/>
    <w:rsid w:val="002C3691"/>
    <w:rsid w:val="0037682E"/>
    <w:rsid w:val="00384CC2"/>
    <w:rsid w:val="0039736A"/>
    <w:rsid w:val="003A07D3"/>
    <w:rsid w:val="003A5398"/>
    <w:rsid w:val="004001BA"/>
    <w:rsid w:val="00407729"/>
    <w:rsid w:val="00415DA7"/>
    <w:rsid w:val="00442759"/>
    <w:rsid w:val="004F51F7"/>
    <w:rsid w:val="00560156"/>
    <w:rsid w:val="00586AE1"/>
    <w:rsid w:val="0062381E"/>
    <w:rsid w:val="006504E9"/>
    <w:rsid w:val="006700EA"/>
    <w:rsid w:val="006C40B6"/>
    <w:rsid w:val="00716A7F"/>
    <w:rsid w:val="007825D0"/>
    <w:rsid w:val="00797162"/>
    <w:rsid w:val="008513EA"/>
    <w:rsid w:val="00864C6F"/>
    <w:rsid w:val="008E2C89"/>
    <w:rsid w:val="008E3A40"/>
    <w:rsid w:val="008F2EA8"/>
    <w:rsid w:val="0090262C"/>
    <w:rsid w:val="009064BD"/>
    <w:rsid w:val="009319DA"/>
    <w:rsid w:val="0093779E"/>
    <w:rsid w:val="009546A2"/>
    <w:rsid w:val="009A651F"/>
    <w:rsid w:val="009D2C58"/>
    <w:rsid w:val="009E6AD2"/>
    <w:rsid w:val="00A566F7"/>
    <w:rsid w:val="00A57025"/>
    <w:rsid w:val="00A66C9E"/>
    <w:rsid w:val="00A8637F"/>
    <w:rsid w:val="00AE6BB4"/>
    <w:rsid w:val="00AF5495"/>
    <w:rsid w:val="00B4047D"/>
    <w:rsid w:val="00B71954"/>
    <w:rsid w:val="00BF4A39"/>
    <w:rsid w:val="00BF5FAA"/>
    <w:rsid w:val="00C86CFC"/>
    <w:rsid w:val="00CB0815"/>
    <w:rsid w:val="00D70F1A"/>
    <w:rsid w:val="00D87A8D"/>
    <w:rsid w:val="00E118F7"/>
    <w:rsid w:val="00E21312"/>
    <w:rsid w:val="00E54075"/>
    <w:rsid w:val="00F8788F"/>
    <w:rsid w:val="00FC0EAF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9AC3"/>
  <w15:docId w15:val="{E08E599D-DF1A-4B03-8842-56C67CD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4F51F7"/>
    <w:pPr>
      <w:numPr>
        <w:numId w:val="19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C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environment/Home/education/Professional-Development/Webinars-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fairtoront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en.evers@tdsb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dsbfacshr\Facilities_Silo\Facility-Services\Sustainability%20Office\Staff\3.%20Green%20Projects\ESCAC\Meeting%20Logistics%20(Agendas,%20Catering,%20Minutes,%20Permits%20etc.)\2021-22\ESCAC%20Minutes%20-%20Oct.%205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Oct. 5 2021.dotx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Evers, Kristen</dc:creator>
  <cp:lastModifiedBy>Evers, Kristen</cp:lastModifiedBy>
  <cp:revision>1</cp:revision>
  <dcterms:created xsi:type="dcterms:W3CDTF">2021-10-22T14:53:00Z</dcterms:created>
  <dcterms:modified xsi:type="dcterms:W3CDTF">2021-10-22T14:54:00Z</dcterms:modified>
</cp:coreProperties>
</file>