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F8FA" w14:textId="77777777" w:rsidR="00250CAE" w:rsidRDefault="009F4FBD">
      <w:pPr>
        <w:spacing w:before="120"/>
        <w:jc w:val="center"/>
        <w:rPr>
          <w:rFonts w:ascii="Arial" w:eastAsia="Arial" w:hAnsi="Arial" w:cs="Arial"/>
          <w:b/>
          <w:sz w:val="24"/>
          <w:szCs w:val="24"/>
        </w:rPr>
      </w:pPr>
      <w:r>
        <w:rPr>
          <w:rFonts w:ascii="Arial" w:eastAsia="Arial" w:hAnsi="Arial" w:cs="Arial"/>
          <w:b/>
          <w:sz w:val="28"/>
          <w:szCs w:val="28"/>
        </w:rPr>
        <w:t>Special Education Advisory Committee Meeting</w:t>
      </w:r>
      <w:r>
        <w:rPr>
          <w:rFonts w:ascii="Arial" w:eastAsia="Arial" w:hAnsi="Arial" w:cs="Arial"/>
          <w:b/>
          <w:sz w:val="24"/>
          <w:szCs w:val="24"/>
        </w:rPr>
        <w:t xml:space="preserve"> </w:t>
      </w:r>
    </w:p>
    <w:p w14:paraId="04366045" w14:textId="77777777" w:rsidR="00250CAE" w:rsidRDefault="009F4FBD">
      <w:pPr>
        <w:spacing w:before="120" w:after="0"/>
        <w:ind w:left="142"/>
        <w:jc w:val="center"/>
        <w:rPr>
          <w:rFonts w:ascii="Arial" w:eastAsia="Arial" w:hAnsi="Arial" w:cs="Arial"/>
          <w:b/>
          <w:sz w:val="24"/>
          <w:szCs w:val="24"/>
          <w:highlight w:val="yellow"/>
        </w:rPr>
      </w:pPr>
      <w:r>
        <w:rPr>
          <w:rFonts w:ascii="Arial" w:eastAsia="Arial" w:hAnsi="Arial" w:cs="Arial"/>
          <w:b/>
          <w:sz w:val="24"/>
          <w:szCs w:val="24"/>
        </w:rPr>
        <w:t>January 16, 2023</w:t>
      </w:r>
    </w:p>
    <w:p w14:paraId="3517FB8D" w14:textId="77777777" w:rsidR="00250CAE" w:rsidRDefault="009F4FBD">
      <w:pPr>
        <w:jc w:val="center"/>
        <w:rPr>
          <w:rFonts w:ascii="Arial" w:eastAsia="Arial" w:hAnsi="Arial" w:cs="Arial"/>
          <w:b/>
          <w:sz w:val="24"/>
          <w:szCs w:val="24"/>
          <w:u w:val="single"/>
        </w:rPr>
      </w:pPr>
      <w:r>
        <w:rPr>
          <w:rFonts w:ascii="Arial" w:eastAsia="Arial" w:hAnsi="Arial" w:cs="Arial"/>
          <w:b/>
          <w:sz w:val="24"/>
          <w:szCs w:val="24"/>
          <w:u w:val="single"/>
        </w:rPr>
        <w:t>Leadership Report</w:t>
      </w:r>
    </w:p>
    <w:p w14:paraId="741A2ACF" w14:textId="77777777" w:rsidR="00250CAE" w:rsidRDefault="009F4FBD">
      <w:pPr>
        <w:keepLines/>
        <w:spacing w:after="0" w:line="240" w:lineRule="auto"/>
        <w:jc w:val="center"/>
        <w:rPr>
          <w:rFonts w:ascii="Arial" w:eastAsia="Arial" w:hAnsi="Arial" w:cs="Arial"/>
          <w:b/>
          <w:sz w:val="24"/>
          <w:szCs w:val="24"/>
        </w:rPr>
      </w:pPr>
      <w:r>
        <w:rPr>
          <w:rFonts w:ascii="Arial" w:eastAsia="Arial" w:hAnsi="Arial" w:cs="Arial"/>
          <w:b/>
          <w:sz w:val="24"/>
          <w:szCs w:val="24"/>
        </w:rPr>
        <w:t>Learning Transformation and Equity - Special Education and Inclusion</w:t>
      </w:r>
    </w:p>
    <w:p w14:paraId="2AE93831" w14:textId="77777777" w:rsidR="00250CAE" w:rsidRDefault="009F4FBD">
      <w:pPr>
        <w:keepLines/>
        <w:spacing w:after="0" w:line="240" w:lineRule="auto"/>
        <w:jc w:val="center"/>
        <w:rPr>
          <w:rFonts w:ascii="Arial" w:eastAsia="Arial" w:hAnsi="Arial" w:cs="Arial"/>
          <w:sz w:val="24"/>
          <w:szCs w:val="24"/>
        </w:rPr>
      </w:pPr>
      <w:r>
        <w:rPr>
          <w:rFonts w:ascii="Arial" w:eastAsia="Arial" w:hAnsi="Arial" w:cs="Arial"/>
          <w:sz w:val="24"/>
          <w:szCs w:val="24"/>
        </w:rPr>
        <w:t>Audley Salmon, Associate Director, Learning Transformation and Equity</w:t>
      </w:r>
    </w:p>
    <w:p w14:paraId="501D8658" w14:textId="77777777" w:rsidR="00250CAE" w:rsidRDefault="009F4FBD">
      <w:pPr>
        <w:keepLines/>
        <w:spacing w:after="0" w:line="240" w:lineRule="auto"/>
        <w:jc w:val="center"/>
        <w:rPr>
          <w:rFonts w:ascii="Arial" w:eastAsia="Arial" w:hAnsi="Arial" w:cs="Arial"/>
          <w:b/>
          <w:sz w:val="24"/>
          <w:szCs w:val="24"/>
        </w:rPr>
      </w:pPr>
      <w:r>
        <w:rPr>
          <w:rFonts w:ascii="Arial" w:eastAsia="Arial" w:hAnsi="Arial" w:cs="Arial"/>
          <w:sz w:val="24"/>
          <w:szCs w:val="24"/>
        </w:rPr>
        <w:t>Nandy Palmer, System Superintendent of Special Education and Inclusion</w:t>
      </w:r>
    </w:p>
    <w:p w14:paraId="17B7AFF1" w14:textId="77777777" w:rsidR="00250CAE" w:rsidRDefault="00250CAE">
      <w:pPr>
        <w:spacing w:after="0" w:line="240" w:lineRule="auto"/>
        <w:jc w:val="both"/>
        <w:rPr>
          <w:rFonts w:ascii="Arial" w:eastAsia="Arial" w:hAnsi="Arial" w:cs="Arial"/>
          <w:sz w:val="24"/>
          <w:szCs w:val="24"/>
        </w:rPr>
      </w:pPr>
    </w:p>
    <w:p w14:paraId="7CE57F72" w14:textId="77777777" w:rsidR="00250CAE" w:rsidRDefault="00250CAE">
      <w:pPr>
        <w:spacing w:after="0" w:line="240" w:lineRule="auto"/>
        <w:jc w:val="both"/>
        <w:rPr>
          <w:rFonts w:ascii="Arial" w:eastAsia="Arial" w:hAnsi="Arial" w:cs="Arial"/>
          <w:sz w:val="24"/>
          <w:szCs w:val="24"/>
        </w:rPr>
      </w:pPr>
    </w:p>
    <w:p w14:paraId="0B5742E3" w14:textId="77777777" w:rsidR="00250CAE" w:rsidRDefault="009F4FBD">
      <w:pPr>
        <w:spacing w:after="0" w:line="240" w:lineRule="auto"/>
        <w:rPr>
          <w:rFonts w:ascii="Arial" w:eastAsia="Arial" w:hAnsi="Arial" w:cs="Arial"/>
          <w:b/>
          <w:i/>
          <w:sz w:val="24"/>
          <w:szCs w:val="24"/>
        </w:rPr>
      </w:pPr>
      <w:r>
        <w:rPr>
          <w:rFonts w:ascii="Arial" w:eastAsia="Arial" w:hAnsi="Arial" w:cs="Arial"/>
          <w:b/>
          <w:i/>
          <w:sz w:val="24"/>
          <w:szCs w:val="24"/>
        </w:rPr>
        <w:t>Senior Team Mandatory Special Education and Inclusion Professional Learning</w:t>
      </w:r>
    </w:p>
    <w:p w14:paraId="2DADA55B" w14:textId="77777777" w:rsidR="00250CAE" w:rsidRDefault="009F4FBD">
      <w:pPr>
        <w:spacing w:after="0" w:line="240" w:lineRule="auto"/>
        <w:rPr>
          <w:rFonts w:ascii="Arial" w:eastAsia="Arial" w:hAnsi="Arial" w:cs="Arial"/>
          <w:sz w:val="24"/>
          <w:szCs w:val="24"/>
        </w:rPr>
      </w:pPr>
      <w:r>
        <w:rPr>
          <w:rFonts w:ascii="Arial" w:eastAsia="Arial" w:hAnsi="Arial" w:cs="Arial"/>
          <w:sz w:val="24"/>
          <w:szCs w:val="24"/>
        </w:rPr>
        <w:t xml:space="preserve">To support capacity building of senior leaders, on December 16th, Special Education and Inclusion led a mandatory professional learning session for Senior Team (academic as well as business). This comprehensive session made connections to the TDSB Multi-Year Strategic Plan and Equity, Anti-Oppression and Anti-Ableism and focused on working collaboratively with parents/guardians/caregivers and other partners to support students with special education needs. </w:t>
      </w:r>
    </w:p>
    <w:p w14:paraId="79AD51F2" w14:textId="77777777" w:rsidR="00250CAE" w:rsidRDefault="00250CAE">
      <w:pPr>
        <w:spacing w:after="0" w:line="240" w:lineRule="auto"/>
        <w:rPr>
          <w:rFonts w:ascii="Arial" w:eastAsia="Arial" w:hAnsi="Arial" w:cs="Arial"/>
          <w:sz w:val="24"/>
          <w:szCs w:val="24"/>
        </w:rPr>
      </w:pPr>
    </w:p>
    <w:p w14:paraId="092DB278" w14:textId="77777777" w:rsidR="00250CAE" w:rsidRDefault="009F4FBD">
      <w:pPr>
        <w:spacing w:after="0" w:line="240" w:lineRule="auto"/>
        <w:rPr>
          <w:rFonts w:ascii="Arial" w:eastAsia="Arial" w:hAnsi="Arial" w:cs="Arial"/>
          <w:b/>
          <w:i/>
          <w:sz w:val="24"/>
          <w:szCs w:val="24"/>
        </w:rPr>
      </w:pPr>
      <w:r>
        <w:rPr>
          <w:rFonts w:ascii="Arial" w:eastAsia="Arial" w:hAnsi="Arial" w:cs="Arial"/>
          <w:b/>
          <w:i/>
          <w:sz w:val="24"/>
          <w:szCs w:val="24"/>
        </w:rPr>
        <w:t>Toronto School Administrators Association Conference - Demystifying Special Education</w:t>
      </w:r>
    </w:p>
    <w:p w14:paraId="39245B51" w14:textId="77777777" w:rsidR="00250CAE" w:rsidRDefault="009F4FBD">
      <w:pPr>
        <w:spacing w:after="0" w:line="240" w:lineRule="auto"/>
        <w:rPr>
          <w:rFonts w:ascii="Arial" w:eastAsia="Arial" w:hAnsi="Arial" w:cs="Arial"/>
          <w:sz w:val="24"/>
          <w:szCs w:val="24"/>
        </w:rPr>
      </w:pPr>
      <w:r>
        <w:rPr>
          <w:rFonts w:ascii="Arial" w:eastAsia="Arial" w:hAnsi="Arial" w:cs="Arial"/>
          <w:sz w:val="24"/>
          <w:szCs w:val="24"/>
        </w:rPr>
        <w:t>The Toronto School Administrators Association (TSAA) Conference in early December provided an opportunity to bring principals and vice principals together to learn more about connecting special education and inclusion to the school improvement plan. Focusing on using school and classroom walkthroughs to identify practices in the classroom that support students with special education needs, administrators engaged in deepening their knowledge and leadership in the area of inclusion.</w:t>
      </w:r>
    </w:p>
    <w:p w14:paraId="42D01555" w14:textId="77777777" w:rsidR="00250CAE" w:rsidRDefault="00250CAE">
      <w:pPr>
        <w:spacing w:after="0" w:line="240" w:lineRule="auto"/>
        <w:rPr>
          <w:rFonts w:ascii="Arial" w:eastAsia="Arial" w:hAnsi="Arial" w:cs="Arial"/>
          <w:sz w:val="24"/>
          <w:szCs w:val="24"/>
        </w:rPr>
      </w:pPr>
    </w:p>
    <w:p w14:paraId="43CF2EBA" w14:textId="77777777" w:rsidR="00250CAE" w:rsidRDefault="009F4FBD">
      <w:pPr>
        <w:spacing w:after="0" w:line="240" w:lineRule="auto"/>
        <w:rPr>
          <w:rFonts w:ascii="Arial" w:eastAsia="Arial" w:hAnsi="Arial" w:cs="Arial"/>
          <w:b/>
          <w:sz w:val="24"/>
          <w:szCs w:val="24"/>
        </w:rPr>
      </w:pPr>
      <w:r>
        <w:rPr>
          <w:rFonts w:ascii="Arial" w:eastAsia="Arial" w:hAnsi="Arial" w:cs="Arial"/>
          <w:b/>
          <w:sz w:val="24"/>
          <w:szCs w:val="24"/>
        </w:rPr>
        <w:t>Ontario Council for Exceptional Children (CEC) Annual Special Education Conference</w:t>
      </w:r>
    </w:p>
    <w:p w14:paraId="7E406F08" w14:textId="77777777" w:rsidR="00250CAE" w:rsidRDefault="009F4FBD">
      <w:pPr>
        <w:spacing w:after="0" w:line="240" w:lineRule="auto"/>
        <w:rPr>
          <w:rFonts w:ascii="Arial" w:eastAsia="Arial" w:hAnsi="Arial" w:cs="Arial"/>
          <w:sz w:val="24"/>
          <w:szCs w:val="24"/>
        </w:rPr>
      </w:pPr>
      <w:r>
        <w:rPr>
          <w:rFonts w:ascii="Arial" w:eastAsia="Arial" w:hAnsi="Arial" w:cs="Arial"/>
          <w:sz w:val="24"/>
          <w:szCs w:val="24"/>
        </w:rPr>
        <w:t>On December 2 and 3, staff from Special Education and Inclusion presented the following sessions at the 66th Annual CEC Conference:</w:t>
      </w:r>
    </w:p>
    <w:p w14:paraId="08F08177" w14:textId="77777777" w:rsidR="00250CAE" w:rsidRDefault="009F4FBD">
      <w:pPr>
        <w:numPr>
          <w:ilvl w:val="0"/>
          <w:numId w:val="1"/>
        </w:numPr>
        <w:spacing w:after="0" w:line="240" w:lineRule="auto"/>
        <w:rPr>
          <w:rFonts w:ascii="Arial" w:eastAsia="Arial" w:hAnsi="Arial" w:cs="Arial"/>
          <w:sz w:val="24"/>
          <w:szCs w:val="24"/>
        </w:rPr>
      </w:pPr>
      <w:r>
        <w:rPr>
          <w:rFonts w:ascii="Arial" w:eastAsia="Arial" w:hAnsi="Arial" w:cs="Arial"/>
          <w:b/>
          <w:i/>
          <w:sz w:val="24"/>
          <w:szCs w:val="24"/>
        </w:rPr>
        <w:t>Developing Rich Workplace Pathway Learning for Students in Special Education Programming:</w:t>
      </w:r>
      <w:r>
        <w:rPr>
          <w:rFonts w:ascii="Arial" w:eastAsia="Arial" w:hAnsi="Arial" w:cs="Arial"/>
          <w:i/>
          <w:sz w:val="24"/>
          <w:szCs w:val="24"/>
        </w:rPr>
        <w:t xml:space="preserve"> </w:t>
      </w:r>
      <w:r>
        <w:rPr>
          <w:rFonts w:ascii="Arial" w:eastAsia="Arial" w:hAnsi="Arial" w:cs="Arial"/>
          <w:sz w:val="24"/>
          <w:szCs w:val="24"/>
        </w:rPr>
        <w:t>This session profiled work done by TDSB educators to support rich numeracy and literacy learning opportunities for students in the workplace pathway. Focusing on students who have intellectual (MID) and developmental (DD) exceptionalities, the project builds on the skills necessary for post secondary employment through high expectations and rigorous curriculum connected to employability skills.</w:t>
      </w:r>
    </w:p>
    <w:p w14:paraId="0DA379F1" w14:textId="77777777" w:rsidR="00250CAE" w:rsidRDefault="009F4FBD">
      <w:pPr>
        <w:numPr>
          <w:ilvl w:val="0"/>
          <w:numId w:val="1"/>
        </w:numPr>
        <w:spacing w:after="240" w:line="240" w:lineRule="auto"/>
        <w:rPr>
          <w:rFonts w:ascii="Arial" w:eastAsia="Arial" w:hAnsi="Arial" w:cs="Arial"/>
        </w:rPr>
      </w:pPr>
      <w:r>
        <w:rPr>
          <w:rFonts w:ascii="Arial" w:eastAsia="Arial" w:hAnsi="Arial" w:cs="Arial"/>
          <w:b/>
          <w:i/>
          <w:sz w:val="24"/>
          <w:szCs w:val="24"/>
        </w:rPr>
        <w:t>A Transdisciplinary Approach to Working with Students with Autism Spectrum Disorder (ASD) in the Toronto District School Board (TDSB): an Evidence-based Approach to a Collaborative Integration of Support:</w:t>
      </w:r>
      <w:r>
        <w:rPr>
          <w:rFonts w:ascii="Arial" w:eastAsia="Arial" w:hAnsi="Arial" w:cs="Arial"/>
          <w:sz w:val="24"/>
          <w:szCs w:val="24"/>
        </w:rPr>
        <w:t xml:space="preserve"> A student-centred approach is essential to supporting the strengths and areas for growth of students with </w:t>
      </w:r>
      <w:proofErr w:type="gramStart"/>
      <w:r>
        <w:rPr>
          <w:rFonts w:ascii="Arial" w:eastAsia="Arial" w:hAnsi="Arial" w:cs="Arial"/>
          <w:sz w:val="24"/>
          <w:szCs w:val="24"/>
        </w:rPr>
        <w:t>Autism Spectrum Disorder</w:t>
      </w:r>
      <w:proofErr w:type="gramEnd"/>
      <w:r>
        <w:rPr>
          <w:rFonts w:ascii="Arial" w:eastAsia="Arial" w:hAnsi="Arial" w:cs="Arial"/>
          <w:sz w:val="24"/>
          <w:szCs w:val="24"/>
        </w:rPr>
        <w:t>. Through a transdisciplinary approach, various professional disciplines collaborate to implement cohesive strategies, thereby reducing fragmented and duplicated service. The primary purpose of this approach is to coordinate and integrate the expertise of team members, therefore providing a more holistic, efficient, and comprehensive assessment and intervention service</w:t>
      </w:r>
      <w:r>
        <w:rPr>
          <w:rFonts w:ascii="Arial" w:eastAsia="Arial" w:hAnsi="Arial" w:cs="Arial"/>
        </w:rPr>
        <w:t xml:space="preserve">. </w:t>
      </w:r>
      <w:r>
        <w:rPr>
          <w:rFonts w:ascii="Arial" w:eastAsia="Arial" w:hAnsi="Arial" w:cs="Arial"/>
          <w:sz w:val="24"/>
          <w:szCs w:val="24"/>
        </w:rPr>
        <w:t>Inclusion of family members as part of the team is essential in order to extend support across the multitude of environments students experience daily (</w:t>
      </w:r>
      <w:proofErr w:type="spellStart"/>
      <w:r>
        <w:rPr>
          <w:rFonts w:ascii="Arial" w:eastAsia="Arial" w:hAnsi="Arial" w:cs="Arial"/>
          <w:sz w:val="24"/>
          <w:szCs w:val="24"/>
        </w:rPr>
        <w:t>Rieske</w:t>
      </w:r>
      <w:proofErr w:type="spellEnd"/>
      <w:r>
        <w:rPr>
          <w:rFonts w:ascii="Arial" w:eastAsia="Arial" w:hAnsi="Arial" w:cs="Arial"/>
          <w:sz w:val="24"/>
          <w:szCs w:val="24"/>
        </w:rPr>
        <w:t xml:space="preserve"> et al., 2019).</w:t>
      </w:r>
    </w:p>
    <w:p w14:paraId="5389BF82" w14:textId="77777777" w:rsidR="00250CAE" w:rsidRDefault="009F4FBD">
      <w:pPr>
        <w:spacing w:after="0" w:line="240" w:lineRule="auto"/>
        <w:rPr>
          <w:rFonts w:ascii="Arial" w:eastAsia="Arial" w:hAnsi="Arial" w:cs="Arial"/>
          <w:b/>
          <w:i/>
          <w:sz w:val="28"/>
          <w:szCs w:val="28"/>
          <w:highlight w:val="yellow"/>
        </w:rPr>
      </w:pPr>
      <w:r>
        <w:rPr>
          <w:rFonts w:ascii="Arial" w:eastAsia="Arial" w:hAnsi="Arial" w:cs="Arial"/>
          <w:b/>
          <w:i/>
          <w:sz w:val="24"/>
          <w:szCs w:val="24"/>
        </w:rPr>
        <w:lastRenderedPageBreak/>
        <w:t>Professional Learning Sessions for Educators of Intensive Support Programs (ISPs)</w:t>
      </w:r>
    </w:p>
    <w:p w14:paraId="6684B777" w14:textId="77777777" w:rsidR="00250CAE" w:rsidRDefault="009F4FBD">
      <w:pPr>
        <w:spacing w:after="0" w:line="240" w:lineRule="auto"/>
        <w:rPr>
          <w:rFonts w:ascii="Arial" w:eastAsia="Arial" w:hAnsi="Arial" w:cs="Arial"/>
          <w:b/>
          <w:sz w:val="28"/>
          <w:szCs w:val="28"/>
          <w:highlight w:val="yellow"/>
        </w:rPr>
      </w:pPr>
      <w:r>
        <w:rPr>
          <w:rFonts w:ascii="Arial" w:eastAsia="Arial" w:hAnsi="Arial" w:cs="Arial"/>
          <w:sz w:val="24"/>
          <w:szCs w:val="24"/>
        </w:rPr>
        <w:t xml:space="preserve">Intensive Support Program (ISP) specific professional learning sessions (e.g., ASD, DD ISP, MID, </w:t>
      </w:r>
      <w:proofErr w:type="gramStart"/>
      <w:r>
        <w:rPr>
          <w:rFonts w:ascii="Arial" w:eastAsia="Arial" w:hAnsi="Arial" w:cs="Arial"/>
          <w:sz w:val="24"/>
          <w:szCs w:val="24"/>
        </w:rPr>
        <w:t>Gifted</w:t>
      </w:r>
      <w:proofErr w:type="gramEnd"/>
      <w:r>
        <w:rPr>
          <w:rFonts w:ascii="Arial" w:eastAsia="Arial" w:hAnsi="Arial" w:cs="Arial"/>
          <w:sz w:val="24"/>
          <w:szCs w:val="24"/>
        </w:rPr>
        <w:t xml:space="preserve"> etc.) were held in December and provided an opportunity for educators and support staff to learn and explore inclusionary practices specific to the exceptionality in an ISP setting. Participants deepened their understanding of the intersection of anti-ableism, anti-oppression and anti-racism and discussed ways in which students can effectively be integrated. Educators also explored assistive technology tools available to assist students with their daily programming.</w:t>
      </w:r>
    </w:p>
    <w:p w14:paraId="0C7F36E3" w14:textId="77777777" w:rsidR="00250CAE" w:rsidRDefault="00250CAE">
      <w:pPr>
        <w:spacing w:after="0" w:line="240" w:lineRule="auto"/>
        <w:jc w:val="both"/>
        <w:rPr>
          <w:rFonts w:ascii="Arial" w:eastAsia="Arial" w:hAnsi="Arial" w:cs="Arial"/>
          <w:b/>
          <w:sz w:val="28"/>
          <w:szCs w:val="28"/>
        </w:rPr>
      </w:pPr>
    </w:p>
    <w:p w14:paraId="0769501A" w14:textId="77777777" w:rsidR="00250CAE" w:rsidRDefault="009F4FBD">
      <w:pPr>
        <w:spacing w:after="0" w:line="240" w:lineRule="auto"/>
        <w:jc w:val="both"/>
        <w:rPr>
          <w:rFonts w:ascii="Arial" w:eastAsia="Arial" w:hAnsi="Arial" w:cs="Arial"/>
          <w:b/>
          <w:sz w:val="28"/>
          <w:szCs w:val="28"/>
        </w:rPr>
      </w:pPr>
      <w:r>
        <w:rPr>
          <w:rFonts w:ascii="Arial" w:eastAsia="Arial" w:hAnsi="Arial" w:cs="Arial"/>
          <w:b/>
          <w:sz w:val="28"/>
          <w:szCs w:val="28"/>
        </w:rPr>
        <w:t xml:space="preserve">IPRC Data - December 2022 </w:t>
      </w:r>
    </w:p>
    <w:p w14:paraId="6E329A4F" w14:textId="77777777" w:rsidR="00250CAE" w:rsidRDefault="00250CAE">
      <w:pPr>
        <w:spacing w:after="0" w:line="240" w:lineRule="auto"/>
        <w:ind w:left="142"/>
        <w:jc w:val="both"/>
        <w:rPr>
          <w:rFonts w:ascii="Arial" w:eastAsia="Arial" w:hAnsi="Arial" w:cs="Arial"/>
          <w:b/>
          <w:sz w:val="24"/>
          <w:szCs w:val="24"/>
        </w:rPr>
      </w:pPr>
    </w:p>
    <w:tbl>
      <w:tblPr>
        <w:tblStyle w:val="affd"/>
        <w:tblW w:w="597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2685"/>
      </w:tblGrid>
      <w:tr w:rsidR="00250CAE" w14:paraId="66C2C190" w14:textId="77777777">
        <w:trPr>
          <w:trHeight w:val="405"/>
        </w:trPr>
        <w:tc>
          <w:tcPr>
            <w:tcW w:w="5970" w:type="dxa"/>
            <w:gridSpan w:val="2"/>
            <w:shd w:val="clear" w:color="auto" w:fill="FFF2CC"/>
            <w:tcMar>
              <w:top w:w="100" w:type="dxa"/>
              <w:left w:w="100" w:type="dxa"/>
              <w:bottom w:w="100" w:type="dxa"/>
              <w:right w:w="100" w:type="dxa"/>
            </w:tcMar>
          </w:tcPr>
          <w:p w14:paraId="2656B0A0" w14:textId="77777777" w:rsidR="00250CAE" w:rsidRDefault="009F4FBD">
            <w:pPr>
              <w:spacing w:after="0" w:line="240" w:lineRule="auto"/>
              <w:jc w:val="center"/>
              <w:rPr>
                <w:b/>
                <w:sz w:val="24"/>
                <w:szCs w:val="24"/>
              </w:rPr>
            </w:pPr>
            <w:r>
              <w:rPr>
                <w:b/>
                <w:sz w:val="24"/>
                <w:szCs w:val="24"/>
              </w:rPr>
              <w:t>December IPRCs</w:t>
            </w:r>
          </w:p>
        </w:tc>
      </w:tr>
      <w:tr w:rsidR="00250CAE" w14:paraId="301F00F0" w14:textId="77777777">
        <w:trPr>
          <w:trHeight w:val="312"/>
        </w:trPr>
        <w:tc>
          <w:tcPr>
            <w:tcW w:w="3285" w:type="dxa"/>
            <w:shd w:val="clear" w:color="auto" w:fill="auto"/>
            <w:tcMar>
              <w:top w:w="100" w:type="dxa"/>
              <w:left w:w="100" w:type="dxa"/>
              <w:bottom w:w="100" w:type="dxa"/>
              <w:right w:w="100" w:type="dxa"/>
            </w:tcMar>
          </w:tcPr>
          <w:p w14:paraId="5888B08A" w14:textId="77777777" w:rsidR="00250CAE" w:rsidRDefault="009F4FBD">
            <w:pPr>
              <w:spacing w:after="0" w:line="240" w:lineRule="auto"/>
              <w:rPr>
                <w:rFonts w:ascii="Arial" w:eastAsia="Arial" w:hAnsi="Arial" w:cs="Arial"/>
                <w:b/>
                <w:sz w:val="24"/>
                <w:szCs w:val="24"/>
              </w:rPr>
            </w:pPr>
            <w:r>
              <w:rPr>
                <w:rFonts w:ascii="Arial" w:eastAsia="Arial" w:hAnsi="Arial" w:cs="Arial"/>
                <w:b/>
                <w:sz w:val="24"/>
                <w:szCs w:val="24"/>
              </w:rPr>
              <w:t>Learning Centre 1</w:t>
            </w:r>
          </w:p>
        </w:tc>
        <w:tc>
          <w:tcPr>
            <w:tcW w:w="2685" w:type="dxa"/>
            <w:shd w:val="clear" w:color="auto" w:fill="auto"/>
            <w:tcMar>
              <w:top w:w="100" w:type="dxa"/>
              <w:left w:w="100" w:type="dxa"/>
              <w:bottom w:w="100" w:type="dxa"/>
              <w:right w:w="100" w:type="dxa"/>
            </w:tcMar>
          </w:tcPr>
          <w:p w14:paraId="0EE9884F" w14:textId="77777777" w:rsidR="00250CAE" w:rsidRDefault="009F4FBD">
            <w:pPr>
              <w:spacing w:after="0" w:line="240" w:lineRule="auto"/>
              <w:jc w:val="center"/>
              <w:rPr>
                <w:rFonts w:ascii="Arial" w:eastAsia="Arial" w:hAnsi="Arial" w:cs="Arial"/>
                <w:b/>
                <w:sz w:val="24"/>
                <w:szCs w:val="24"/>
              </w:rPr>
            </w:pPr>
            <w:r>
              <w:rPr>
                <w:rFonts w:ascii="Arial" w:eastAsia="Arial" w:hAnsi="Arial" w:cs="Arial"/>
                <w:b/>
                <w:sz w:val="24"/>
                <w:szCs w:val="24"/>
              </w:rPr>
              <w:t>36</w:t>
            </w:r>
          </w:p>
        </w:tc>
      </w:tr>
      <w:tr w:rsidR="00250CAE" w14:paraId="34CBD66D" w14:textId="77777777">
        <w:trPr>
          <w:trHeight w:val="485"/>
        </w:trPr>
        <w:tc>
          <w:tcPr>
            <w:tcW w:w="3285" w:type="dxa"/>
            <w:shd w:val="clear" w:color="auto" w:fill="auto"/>
            <w:tcMar>
              <w:top w:w="100" w:type="dxa"/>
              <w:left w:w="100" w:type="dxa"/>
              <w:bottom w:w="100" w:type="dxa"/>
              <w:right w:w="100" w:type="dxa"/>
            </w:tcMar>
          </w:tcPr>
          <w:p w14:paraId="3073C08B" w14:textId="77777777" w:rsidR="00250CAE" w:rsidRDefault="009F4FBD">
            <w:pPr>
              <w:spacing w:after="0" w:line="240" w:lineRule="auto"/>
              <w:rPr>
                <w:rFonts w:ascii="Arial" w:eastAsia="Arial" w:hAnsi="Arial" w:cs="Arial"/>
                <w:b/>
                <w:sz w:val="24"/>
                <w:szCs w:val="24"/>
              </w:rPr>
            </w:pPr>
            <w:r>
              <w:rPr>
                <w:rFonts w:ascii="Arial" w:eastAsia="Arial" w:hAnsi="Arial" w:cs="Arial"/>
                <w:b/>
                <w:sz w:val="24"/>
                <w:szCs w:val="24"/>
              </w:rPr>
              <w:t>Learning Centre 2</w:t>
            </w:r>
          </w:p>
        </w:tc>
        <w:tc>
          <w:tcPr>
            <w:tcW w:w="2685" w:type="dxa"/>
            <w:shd w:val="clear" w:color="auto" w:fill="auto"/>
            <w:tcMar>
              <w:top w:w="100" w:type="dxa"/>
              <w:left w:w="100" w:type="dxa"/>
              <w:bottom w:w="100" w:type="dxa"/>
              <w:right w:w="100" w:type="dxa"/>
            </w:tcMar>
          </w:tcPr>
          <w:p w14:paraId="63AE67AA" w14:textId="77777777" w:rsidR="00250CAE" w:rsidRDefault="009F4FBD">
            <w:pPr>
              <w:spacing w:after="0" w:line="240" w:lineRule="auto"/>
              <w:jc w:val="center"/>
              <w:rPr>
                <w:rFonts w:ascii="Arial" w:eastAsia="Arial" w:hAnsi="Arial" w:cs="Arial"/>
                <w:b/>
                <w:sz w:val="24"/>
                <w:szCs w:val="24"/>
              </w:rPr>
            </w:pPr>
            <w:r>
              <w:rPr>
                <w:rFonts w:ascii="Arial" w:eastAsia="Arial" w:hAnsi="Arial" w:cs="Arial"/>
                <w:b/>
                <w:sz w:val="24"/>
                <w:szCs w:val="24"/>
              </w:rPr>
              <w:t>40</w:t>
            </w:r>
          </w:p>
        </w:tc>
      </w:tr>
      <w:tr w:rsidR="00250CAE" w14:paraId="67F61D11" w14:textId="77777777">
        <w:trPr>
          <w:trHeight w:val="312"/>
        </w:trPr>
        <w:tc>
          <w:tcPr>
            <w:tcW w:w="3285" w:type="dxa"/>
            <w:shd w:val="clear" w:color="auto" w:fill="auto"/>
            <w:tcMar>
              <w:top w:w="100" w:type="dxa"/>
              <w:left w:w="100" w:type="dxa"/>
              <w:bottom w:w="100" w:type="dxa"/>
              <w:right w:w="100" w:type="dxa"/>
            </w:tcMar>
          </w:tcPr>
          <w:p w14:paraId="0AEDDC22" w14:textId="77777777" w:rsidR="00250CAE" w:rsidRDefault="009F4FBD">
            <w:pPr>
              <w:spacing w:after="0" w:line="240" w:lineRule="auto"/>
              <w:rPr>
                <w:rFonts w:ascii="Arial" w:eastAsia="Arial" w:hAnsi="Arial" w:cs="Arial"/>
                <w:b/>
                <w:sz w:val="24"/>
                <w:szCs w:val="24"/>
              </w:rPr>
            </w:pPr>
            <w:r>
              <w:rPr>
                <w:rFonts w:ascii="Arial" w:eastAsia="Arial" w:hAnsi="Arial" w:cs="Arial"/>
                <w:b/>
                <w:sz w:val="24"/>
                <w:szCs w:val="24"/>
              </w:rPr>
              <w:t>Learning Centre 3</w:t>
            </w:r>
          </w:p>
        </w:tc>
        <w:tc>
          <w:tcPr>
            <w:tcW w:w="2685" w:type="dxa"/>
            <w:shd w:val="clear" w:color="auto" w:fill="auto"/>
            <w:tcMar>
              <w:top w:w="100" w:type="dxa"/>
              <w:left w:w="100" w:type="dxa"/>
              <w:bottom w:w="100" w:type="dxa"/>
              <w:right w:w="100" w:type="dxa"/>
            </w:tcMar>
          </w:tcPr>
          <w:p w14:paraId="6222B13B" w14:textId="77777777" w:rsidR="00250CAE" w:rsidRDefault="009F4FBD">
            <w:pPr>
              <w:spacing w:after="0" w:line="240" w:lineRule="auto"/>
              <w:jc w:val="center"/>
              <w:rPr>
                <w:rFonts w:ascii="Arial" w:eastAsia="Arial" w:hAnsi="Arial" w:cs="Arial"/>
                <w:b/>
                <w:sz w:val="24"/>
                <w:szCs w:val="24"/>
              </w:rPr>
            </w:pPr>
            <w:r>
              <w:rPr>
                <w:rFonts w:ascii="Arial" w:eastAsia="Arial" w:hAnsi="Arial" w:cs="Arial"/>
                <w:b/>
                <w:sz w:val="24"/>
                <w:szCs w:val="24"/>
              </w:rPr>
              <w:t>23</w:t>
            </w:r>
          </w:p>
        </w:tc>
      </w:tr>
      <w:tr w:rsidR="00250CAE" w14:paraId="33D8A64E" w14:textId="77777777">
        <w:trPr>
          <w:trHeight w:val="312"/>
        </w:trPr>
        <w:tc>
          <w:tcPr>
            <w:tcW w:w="3285" w:type="dxa"/>
            <w:shd w:val="clear" w:color="auto" w:fill="auto"/>
            <w:tcMar>
              <w:top w:w="100" w:type="dxa"/>
              <w:left w:w="100" w:type="dxa"/>
              <w:bottom w:w="100" w:type="dxa"/>
              <w:right w:w="100" w:type="dxa"/>
            </w:tcMar>
          </w:tcPr>
          <w:p w14:paraId="67C5FFF2" w14:textId="77777777" w:rsidR="00250CAE" w:rsidRDefault="009F4FBD">
            <w:pPr>
              <w:spacing w:after="0" w:line="240" w:lineRule="auto"/>
              <w:rPr>
                <w:rFonts w:ascii="Arial" w:eastAsia="Arial" w:hAnsi="Arial" w:cs="Arial"/>
                <w:b/>
                <w:sz w:val="24"/>
                <w:szCs w:val="24"/>
              </w:rPr>
            </w:pPr>
            <w:r>
              <w:rPr>
                <w:rFonts w:ascii="Arial" w:eastAsia="Arial" w:hAnsi="Arial" w:cs="Arial"/>
                <w:b/>
                <w:sz w:val="24"/>
                <w:szCs w:val="24"/>
              </w:rPr>
              <w:t>Learning Centre 4</w:t>
            </w:r>
          </w:p>
        </w:tc>
        <w:tc>
          <w:tcPr>
            <w:tcW w:w="2685" w:type="dxa"/>
            <w:shd w:val="clear" w:color="auto" w:fill="auto"/>
            <w:tcMar>
              <w:top w:w="100" w:type="dxa"/>
              <w:left w:w="100" w:type="dxa"/>
              <w:bottom w:w="100" w:type="dxa"/>
              <w:right w:w="100" w:type="dxa"/>
            </w:tcMar>
          </w:tcPr>
          <w:p w14:paraId="31F8E0E6" w14:textId="77777777" w:rsidR="00250CAE" w:rsidRDefault="009F4FBD">
            <w:pPr>
              <w:spacing w:after="0" w:line="240" w:lineRule="auto"/>
              <w:jc w:val="center"/>
              <w:rPr>
                <w:rFonts w:ascii="Arial" w:eastAsia="Arial" w:hAnsi="Arial" w:cs="Arial"/>
                <w:b/>
                <w:sz w:val="24"/>
                <w:szCs w:val="24"/>
              </w:rPr>
            </w:pPr>
            <w:r>
              <w:rPr>
                <w:rFonts w:ascii="Arial" w:eastAsia="Arial" w:hAnsi="Arial" w:cs="Arial"/>
                <w:b/>
                <w:sz w:val="24"/>
                <w:szCs w:val="24"/>
              </w:rPr>
              <w:t>62</w:t>
            </w:r>
          </w:p>
        </w:tc>
      </w:tr>
      <w:tr w:rsidR="00250CAE" w14:paraId="2E203C91" w14:textId="77777777">
        <w:trPr>
          <w:trHeight w:val="312"/>
        </w:trPr>
        <w:tc>
          <w:tcPr>
            <w:tcW w:w="3285" w:type="dxa"/>
            <w:shd w:val="clear" w:color="auto" w:fill="auto"/>
            <w:tcMar>
              <w:top w:w="100" w:type="dxa"/>
              <w:left w:w="100" w:type="dxa"/>
              <w:bottom w:w="100" w:type="dxa"/>
              <w:right w:w="100" w:type="dxa"/>
            </w:tcMar>
          </w:tcPr>
          <w:p w14:paraId="1970D482" w14:textId="77777777" w:rsidR="00250CAE" w:rsidRDefault="009F4FBD">
            <w:pPr>
              <w:spacing w:after="0" w:line="240" w:lineRule="auto"/>
              <w:rPr>
                <w:b/>
                <w:sz w:val="24"/>
                <w:szCs w:val="24"/>
              </w:rPr>
            </w:pPr>
            <w:r>
              <w:rPr>
                <w:b/>
                <w:sz w:val="24"/>
                <w:szCs w:val="24"/>
              </w:rPr>
              <w:t>IPRCs Completed</w:t>
            </w:r>
          </w:p>
        </w:tc>
        <w:tc>
          <w:tcPr>
            <w:tcW w:w="2685" w:type="dxa"/>
            <w:shd w:val="clear" w:color="auto" w:fill="auto"/>
            <w:tcMar>
              <w:top w:w="100" w:type="dxa"/>
              <w:left w:w="100" w:type="dxa"/>
              <w:bottom w:w="100" w:type="dxa"/>
              <w:right w:w="100" w:type="dxa"/>
            </w:tcMar>
          </w:tcPr>
          <w:p w14:paraId="18952E5C" w14:textId="77777777" w:rsidR="00250CAE" w:rsidRDefault="009F4FBD">
            <w:pPr>
              <w:spacing w:after="0" w:line="240" w:lineRule="auto"/>
              <w:jc w:val="center"/>
              <w:rPr>
                <w:b/>
                <w:sz w:val="24"/>
                <w:szCs w:val="24"/>
              </w:rPr>
            </w:pPr>
            <w:r>
              <w:rPr>
                <w:b/>
                <w:sz w:val="24"/>
                <w:szCs w:val="24"/>
              </w:rPr>
              <w:t>161</w:t>
            </w:r>
          </w:p>
        </w:tc>
      </w:tr>
      <w:tr w:rsidR="00250CAE" w14:paraId="5BC5AD5B" w14:textId="77777777">
        <w:trPr>
          <w:trHeight w:val="510"/>
        </w:trPr>
        <w:tc>
          <w:tcPr>
            <w:tcW w:w="5970" w:type="dxa"/>
            <w:gridSpan w:val="2"/>
            <w:shd w:val="clear" w:color="auto" w:fill="FFF2CC"/>
            <w:tcMar>
              <w:top w:w="100" w:type="dxa"/>
              <w:left w:w="100" w:type="dxa"/>
              <w:bottom w:w="100" w:type="dxa"/>
              <w:right w:w="100" w:type="dxa"/>
            </w:tcMar>
          </w:tcPr>
          <w:p w14:paraId="25C0428C" w14:textId="77777777" w:rsidR="00250CAE" w:rsidRDefault="009F4FBD">
            <w:pPr>
              <w:spacing w:after="0" w:line="240" w:lineRule="auto"/>
              <w:jc w:val="center"/>
              <w:rPr>
                <w:b/>
                <w:sz w:val="24"/>
                <w:szCs w:val="24"/>
              </w:rPr>
            </w:pPr>
            <w:r>
              <w:rPr>
                <w:b/>
                <w:sz w:val="24"/>
                <w:szCs w:val="24"/>
              </w:rPr>
              <w:t>IPRC Cumulative since August 2022</w:t>
            </w:r>
          </w:p>
        </w:tc>
      </w:tr>
      <w:tr w:rsidR="00250CAE" w14:paraId="3067B2DE" w14:textId="77777777">
        <w:trPr>
          <w:trHeight w:val="321"/>
        </w:trPr>
        <w:tc>
          <w:tcPr>
            <w:tcW w:w="3285" w:type="dxa"/>
            <w:shd w:val="clear" w:color="auto" w:fill="auto"/>
            <w:tcMar>
              <w:top w:w="100" w:type="dxa"/>
              <w:left w:w="100" w:type="dxa"/>
              <w:bottom w:w="100" w:type="dxa"/>
              <w:right w:w="100" w:type="dxa"/>
            </w:tcMar>
          </w:tcPr>
          <w:p w14:paraId="49985440" w14:textId="77777777" w:rsidR="00250CAE" w:rsidRDefault="009F4FBD">
            <w:pPr>
              <w:spacing w:after="0" w:line="240" w:lineRule="auto"/>
              <w:rPr>
                <w:b/>
                <w:sz w:val="24"/>
                <w:szCs w:val="24"/>
              </w:rPr>
            </w:pPr>
            <w:r>
              <w:rPr>
                <w:b/>
                <w:sz w:val="24"/>
                <w:szCs w:val="24"/>
              </w:rPr>
              <w:t>IPRC Cumulative since August 2022</w:t>
            </w:r>
          </w:p>
        </w:tc>
        <w:tc>
          <w:tcPr>
            <w:tcW w:w="2685" w:type="dxa"/>
            <w:shd w:val="clear" w:color="auto" w:fill="auto"/>
            <w:tcMar>
              <w:top w:w="100" w:type="dxa"/>
              <w:left w:w="100" w:type="dxa"/>
              <w:bottom w:w="100" w:type="dxa"/>
              <w:right w:w="100" w:type="dxa"/>
            </w:tcMar>
          </w:tcPr>
          <w:p w14:paraId="73E4ED12" w14:textId="77777777" w:rsidR="00250CAE" w:rsidRDefault="009F4FBD">
            <w:pPr>
              <w:spacing w:after="0" w:line="240" w:lineRule="auto"/>
              <w:jc w:val="center"/>
              <w:rPr>
                <w:b/>
                <w:sz w:val="24"/>
                <w:szCs w:val="24"/>
              </w:rPr>
            </w:pPr>
            <w:r>
              <w:rPr>
                <w:b/>
                <w:sz w:val="24"/>
                <w:szCs w:val="24"/>
              </w:rPr>
              <w:t>558</w:t>
            </w:r>
          </w:p>
        </w:tc>
      </w:tr>
    </w:tbl>
    <w:p w14:paraId="1545B4B6" w14:textId="77777777" w:rsidR="00250CAE" w:rsidRDefault="00250CAE">
      <w:pPr>
        <w:spacing w:after="0" w:line="240" w:lineRule="auto"/>
        <w:rPr>
          <w:rFonts w:ascii="Arial" w:eastAsia="Arial" w:hAnsi="Arial" w:cs="Arial"/>
          <w:sz w:val="24"/>
          <w:szCs w:val="24"/>
        </w:rPr>
      </w:pPr>
    </w:p>
    <w:p w14:paraId="2E32573A" w14:textId="77777777" w:rsidR="00250CAE" w:rsidRDefault="00250CAE">
      <w:pPr>
        <w:spacing w:after="0" w:line="240" w:lineRule="auto"/>
        <w:rPr>
          <w:rFonts w:ascii="Arial" w:eastAsia="Arial" w:hAnsi="Arial" w:cs="Arial"/>
          <w:sz w:val="24"/>
          <w:szCs w:val="24"/>
        </w:rPr>
      </w:pPr>
    </w:p>
    <w:p w14:paraId="5C490CE2" w14:textId="77777777" w:rsidR="00250CAE" w:rsidRDefault="00250CAE">
      <w:pPr>
        <w:spacing w:after="0" w:line="240" w:lineRule="auto"/>
        <w:jc w:val="both"/>
        <w:rPr>
          <w:rFonts w:ascii="Arial" w:eastAsia="Arial" w:hAnsi="Arial" w:cs="Arial"/>
          <w:b/>
          <w:sz w:val="28"/>
          <w:szCs w:val="28"/>
        </w:rPr>
      </w:pPr>
    </w:p>
    <w:p w14:paraId="79801882" w14:textId="77777777" w:rsidR="00250CAE" w:rsidRDefault="009F4FBD">
      <w:pPr>
        <w:spacing w:after="0" w:line="240" w:lineRule="auto"/>
        <w:jc w:val="both"/>
        <w:rPr>
          <w:rFonts w:ascii="Arial" w:eastAsia="Arial" w:hAnsi="Arial" w:cs="Arial"/>
          <w:b/>
          <w:sz w:val="28"/>
          <w:szCs w:val="28"/>
        </w:rPr>
      </w:pPr>
      <w:r>
        <w:rPr>
          <w:rFonts w:ascii="Arial" w:eastAsia="Arial" w:hAnsi="Arial" w:cs="Arial"/>
          <w:b/>
          <w:sz w:val="28"/>
          <w:szCs w:val="28"/>
        </w:rPr>
        <w:t xml:space="preserve">Psychological Assessment Data - December </w:t>
      </w:r>
      <w:sdt>
        <w:sdtPr>
          <w:tag w:val="goog_rdk_0"/>
          <w:id w:val="119046042"/>
        </w:sdtPr>
        <w:sdtContent/>
      </w:sdt>
      <w:r>
        <w:rPr>
          <w:rFonts w:ascii="Arial" w:eastAsia="Arial" w:hAnsi="Arial" w:cs="Arial"/>
          <w:b/>
          <w:sz w:val="28"/>
          <w:szCs w:val="28"/>
        </w:rPr>
        <w:t>2022</w:t>
      </w:r>
    </w:p>
    <w:tbl>
      <w:tblPr>
        <w:tblW w:w="9000" w:type="dxa"/>
        <w:tblInd w:w="-5" w:type="dxa"/>
        <w:tblCellMar>
          <w:top w:w="15" w:type="dxa"/>
          <w:bottom w:w="15" w:type="dxa"/>
        </w:tblCellMar>
        <w:tblLook w:val="04A0" w:firstRow="1" w:lastRow="0" w:firstColumn="1" w:lastColumn="0" w:noHBand="0" w:noVBand="1"/>
      </w:tblPr>
      <w:tblGrid>
        <w:gridCol w:w="5467"/>
        <w:gridCol w:w="653"/>
        <w:gridCol w:w="653"/>
        <w:gridCol w:w="653"/>
        <w:gridCol w:w="761"/>
        <w:gridCol w:w="813"/>
      </w:tblGrid>
      <w:tr w:rsidR="009433D1" w:rsidRPr="009433D1" w14:paraId="126ED74D" w14:textId="77777777" w:rsidTr="009433D1">
        <w:trPr>
          <w:trHeight w:val="300"/>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7723B558" w14:textId="77777777" w:rsidR="009433D1" w:rsidRPr="009433D1" w:rsidRDefault="009433D1" w:rsidP="009433D1">
            <w:pPr>
              <w:spacing w:after="0" w:line="240" w:lineRule="auto"/>
              <w:rPr>
                <w:rFonts w:ascii="Arial" w:eastAsia="Times New Roman" w:hAnsi="Arial" w:cs="Arial"/>
                <w:b/>
                <w:bCs/>
                <w:color w:val="000000"/>
              </w:rPr>
            </w:pPr>
            <w:r w:rsidRPr="009433D1">
              <w:rPr>
                <w:rFonts w:ascii="Arial" w:eastAsia="Times New Roman" w:hAnsi="Arial" w:cs="Arial"/>
                <w:b/>
                <w:bCs/>
                <w:color w:val="000000"/>
              </w:rPr>
              <w:t>Month-By-Month</w:t>
            </w:r>
          </w:p>
        </w:tc>
        <w:tc>
          <w:tcPr>
            <w:tcW w:w="65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2FF0D9CB" w14:textId="77777777" w:rsidR="009433D1" w:rsidRPr="009433D1" w:rsidRDefault="009433D1" w:rsidP="009433D1">
            <w:pPr>
              <w:spacing w:after="0" w:line="240" w:lineRule="auto"/>
              <w:jc w:val="center"/>
              <w:rPr>
                <w:rFonts w:ascii="Arial" w:eastAsia="Times New Roman" w:hAnsi="Arial" w:cs="Arial"/>
                <w:b/>
                <w:bCs/>
                <w:color w:val="000000"/>
              </w:rPr>
            </w:pPr>
            <w:r w:rsidRPr="009433D1">
              <w:rPr>
                <w:rFonts w:ascii="Arial" w:eastAsia="Times New Roman" w:hAnsi="Arial" w:cs="Arial"/>
                <w:b/>
                <w:bCs/>
                <w:color w:val="000000"/>
              </w:rPr>
              <w:t>LC1</w:t>
            </w:r>
          </w:p>
        </w:tc>
        <w:tc>
          <w:tcPr>
            <w:tcW w:w="65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45E01F15" w14:textId="77777777" w:rsidR="009433D1" w:rsidRPr="009433D1" w:rsidRDefault="009433D1" w:rsidP="009433D1">
            <w:pPr>
              <w:spacing w:after="0" w:line="240" w:lineRule="auto"/>
              <w:jc w:val="center"/>
              <w:rPr>
                <w:rFonts w:ascii="Arial" w:eastAsia="Times New Roman" w:hAnsi="Arial" w:cs="Arial"/>
                <w:b/>
                <w:bCs/>
                <w:color w:val="000000"/>
              </w:rPr>
            </w:pPr>
            <w:r w:rsidRPr="009433D1">
              <w:rPr>
                <w:rFonts w:ascii="Arial" w:eastAsia="Times New Roman" w:hAnsi="Arial" w:cs="Arial"/>
                <w:b/>
                <w:bCs/>
                <w:color w:val="000000"/>
              </w:rPr>
              <w:t>LC2</w:t>
            </w:r>
          </w:p>
        </w:tc>
        <w:tc>
          <w:tcPr>
            <w:tcW w:w="65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42153668" w14:textId="77777777" w:rsidR="009433D1" w:rsidRPr="009433D1" w:rsidRDefault="009433D1" w:rsidP="009433D1">
            <w:pPr>
              <w:spacing w:after="0" w:line="240" w:lineRule="auto"/>
              <w:jc w:val="center"/>
              <w:rPr>
                <w:rFonts w:ascii="Arial" w:eastAsia="Times New Roman" w:hAnsi="Arial" w:cs="Arial"/>
                <w:b/>
                <w:bCs/>
                <w:color w:val="000000"/>
              </w:rPr>
            </w:pPr>
            <w:r w:rsidRPr="009433D1">
              <w:rPr>
                <w:rFonts w:ascii="Arial" w:eastAsia="Times New Roman" w:hAnsi="Arial" w:cs="Arial"/>
                <w:b/>
                <w:bCs/>
                <w:color w:val="000000"/>
              </w:rPr>
              <w:t>LC3</w:t>
            </w:r>
          </w:p>
        </w:tc>
        <w:tc>
          <w:tcPr>
            <w:tcW w:w="761"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42D4FC16" w14:textId="77777777" w:rsidR="009433D1" w:rsidRPr="009433D1" w:rsidRDefault="009433D1" w:rsidP="009433D1">
            <w:pPr>
              <w:spacing w:after="0" w:line="240" w:lineRule="auto"/>
              <w:jc w:val="center"/>
              <w:rPr>
                <w:rFonts w:ascii="Arial" w:eastAsia="Times New Roman" w:hAnsi="Arial" w:cs="Arial"/>
                <w:b/>
                <w:bCs/>
                <w:color w:val="000000"/>
              </w:rPr>
            </w:pPr>
            <w:r w:rsidRPr="009433D1">
              <w:rPr>
                <w:rFonts w:ascii="Arial" w:eastAsia="Times New Roman" w:hAnsi="Arial" w:cs="Arial"/>
                <w:b/>
                <w:bCs/>
                <w:color w:val="000000"/>
              </w:rPr>
              <w:t>LC4</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7FD7BCB1" w14:textId="77777777" w:rsidR="009433D1" w:rsidRPr="009433D1" w:rsidRDefault="009433D1" w:rsidP="009433D1">
            <w:pPr>
              <w:spacing w:after="0" w:line="240" w:lineRule="auto"/>
              <w:jc w:val="center"/>
              <w:rPr>
                <w:rFonts w:ascii="Arial" w:eastAsia="Times New Roman" w:hAnsi="Arial" w:cs="Arial"/>
                <w:b/>
                <w:bCs/>
                <w:color w:val="000000"/>
              </w:rPr>
            </w:pPr>
            <w:r w:rsidRPr="009433D1">
              <w:rPr>
                <w:rFonts w:ascii="Arial" w:eastAsia="Times New Roman" w:hAnsi="Arial" w:cs="Arial"/>
                <w:b/>
                <w:bCs/>
                <w:color w:val="000000"/>
              </w:rPr>
              <w:t>Total</w:t>
            </w:r>
          </w:p>
        </w:tc>
      </w:tr>
      <w:tr w:rsidR="009433D1" w:rsidRPr="009433D1" w14:paraId="387D3C39"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41466855"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Completed</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51D6A08"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72</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47996FE"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59</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7A238D6"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57</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56B23D0"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69</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3A49B3A3"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257</w:t>
            </w:r>
          </w:p>
        </w:tc>
      </w:tr>
      <w:tr w:rsidR="009433D1" w:rsidRPr="009433D1" w14:paraId="23BB22EF"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377C1F8A"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Total Referrals</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FD2B9E4"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174</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232219E"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216</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840704F"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134</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B214C3B"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283</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477662DA"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807</w:t>
            </w:r>
          </w:p>
        </w:tc>
      </w:tr>
      <w:tr w:rsidR="009433D1" w:rsidRPr="009433D1" w14:paraId="3B8CA039" w14:textId="77777777" w:rsidTr="009433D1">
        <w:trPr>
          <w:trHeight w:val="300"/>
        </w:trPr>
        <w:tc>
          <w:tcPr>
            <w:tcW w:w="5467" w:type="dxa"/>
            <w:tcBorders>
              <w:top w:val="single" w:sz="4" w:space="0" w:color="000000"/>
              <w:left w:val="single" w:sz="4" w:space="0" w:color="000000"/>
              <w:bottom w:val="single" w:sz="4" w:space="0" w:color="000000"/>
              <w:right w:val="nil"/>
            </w:tcBorders>
            <w:noWrap/>
            <w:vAlign w:val="bottom"/>
            <w:hideMark/>
          </w:tcPr>
          <w:p w14:paraId="5D37E737" w14:textId="77777777" w:rsidR="009433D1" w:rsidRPr="009433D1" w:rsidRDefault="009433D1" w:rsidP="009433D1">
            <w:pPr>
              <w:spacing w:after="0" w:line="240" w:lineRule="auto"/>
              <w:rPr>
                <w:rFonts w:ascii="Arial" w:eastAsia="Times New Roman" w:hAnsi="Arial" w:cs="Arial"/>
                <w:b/>
                <w:bCs/>
                <w:color w:val="000000"/>
              </w:rPr>
            </w:pPr>
            <w:r w:rsidRPr="009433D1">
              <w:rPr>
                <w:rFonts w:ascii="Arial" w:eastAsia="Times New Roman" w:hAnsi="Arial" w:cs="Arial"/>
                <w:b/>
                <w:bCs/>
                <w:color w:val="000000"/>
              </w:rPr>
              <w:t>Cumulative (since September 2022)</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4AE1241" w14:textId="77777777" w:rsidR="009433D1" w:rsidRPr="009433D1" w:rsidRDefault="009433D1" w:rsidP="009433D1">
            <w:pPr>
              <w:spacing w:after="0" w:line="240" w:lineRule="auto"/>
              <w:rPr>
                <w:rFonts w:ascii="Arial" w:eastAsia="Times New Roman" w:hAnsi="Arial" w:cs="Arial"/>
                <w:b/>
                <w:bCs/>
                <w:color w:val="000000"/>
              </w:rPr>
            </w:pP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4FF2951" w14:textId="77777777" w:rsidR="009433D1" w:rsidRPr="009433D1" w:rsidRDefault="009433D1" w:rsidP="009433D1">
            <w:pPr>
              <w:spacing w:after="0" w:line="240" w:lineRule="auto"/>
              <w:jc w:val="center"/>
              <w:rPr>
                <w:rFonts w:ascii="Times New Roman" w:eastAsia="Times New Roman" w:hAnsi="Times New Roman" w:cs="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BE1033C" w14:textId="77777777" w:rsidR="009433D1" w:rsidRPr="009433D1" w:rsidRDefault="009433D1" w:rsidP="009433D1">
            <w:pPr>
              <w:spacing w:after="0" w:line="240" w:lineRule="auto"/>
              <w:jc w:val="center"/>
              <w:rPr>
                <w:rFonts w:ascii="Times New Roman" w:eastAsia="Times New Roman" w:hAnsi="Times New Roman" w:cs="Times New Roman"/>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245E378" w14:textId="77777777" w:rsidR="009433D1" w:rsidRPr="009433D1" w:rsidRDefault="009433D1" w:rsidP="009433D1">
            <w:pPr>
              <w:spacing w:after="0" w:line="240" w:lineRule="auto"/>
              <w:jc w:val="center"/>
              <w:rPr>
                <w:rFonts w:ascii="Times New Roman" w:eastAsia="Times New Roman" w:hAnsi="Times New Roman" w:cs="Times New Roman"/>
                <w:sz w:val="20"/>
                <w:szCs w:val="20"/>
              </w:rPr>
            </w:pPr>
          </w:p>
        </w:tc>
        <w:tc>
          <w:tcPr>
            <w:tcW w:w="813" w:type="dxa"/>
            <w:tcBorders>
              <w:top w:val="single" w:sz="4" w:space="0" w:color="000000"/>
              <w:left w:val="nil"/>
              <w:bottom w:val="single" w:sz="4" w:space="0" w:color="000000"/>
              <w:right w:val="single" w:sz="4" w:space="0" w:color="000000"/>
            </w:tcBorders>
            <w:noWrap/>
            <w:vAlign w:val="bottom"/>
            <w:hideMark/>
          </w:tcPr>
          <w:p w14:paraId="7E346827" w14:textId="77777777" w:rsidR="009433D1" w:rsidRPr="009433D1" w:rsidRDefault="009433D1" w:rsidP="009433D1">
            <w:pPr>
              <w:spacing w:after="0" w:line="240" w:lineRule="auto"/>
              <w:jc w:val="center"/>
              <w:rPr>
                <w:rFonts w:ascii="Times New Roman" w:eastAsia="Times New Roman" w:hAnsi="Times New Roman" w:cs="Times New Roman"/>
                <w:sz w:val="20"/>
                <w:szCs w:val="20"/>
              </w:rPr>
            </w:pPr>
          </w:p>
        </w:tc>
      </w:tr>
      <w:tr w:rsidR="009433D1" w:rsidRPr="009433D1" w14:paraId="6D6EEC60"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1CEB6E85"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Completed</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0EFBA68E"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185</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7315EF0"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171</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C1416B8"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145</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9B88282"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176</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1673A433"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677</w:t>
            </w:r>
          </w:p>
        </w:tc>
      </w:tr>
      <w:tr w:rsidR="009433D1" w:rsidRPr="009433D1" w14:paraId="78127C02"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536F1363"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In Progress</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747A82F"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152</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30C1081"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174</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0E20140"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205</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956CCAB"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222</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51F67C7C"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753</w:t>
            </w:r>
          </w:p>
        </w:tc>
      </w:tr>
      <w:tr w:rsidR="009433D1" w:rsidRPr="009433D1" w14:paraId="68D56B18"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782C4632"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Waiting*</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58DD48A"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329</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D1F8D05"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304</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E71DF51"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256</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19112D8"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548</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658CE260"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1437</w:t>
            </w:r>
          </w:p>
        </w:tc>
      </w:tr>
      <w:tr w:rsidR="009433D1" w:rsidRPr="009433D1" w14:paraId="34603E3E"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5E7A58F9"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 xml:space="preserve">Removed </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6B43FD2"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30</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C011C54"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43</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1A88F77"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45</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A94B6F9"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71</w:t>
            </w:r>
          </w:p>
        </w:tc>
        <w:tc>
          <w:tcPr>
            <w:tcW w:w="813" w:type="dxa"/>
            <w:tcBorders>
              <w:top w:val="single" w:sz="4" w:space="0" w:color="000000"/>
              <w:left w:val="single" w:sz="4" w:space="0" w:color="000000"/>
              <w:bottom w:val="single" w:sz="4" w:space="0" w:color="000000"/>
              <w:right w:val="single" w:sz="4" w:space="0" w:color="000000"/>
            </w:tcBorders>
            <w:shd w:val="clear" w:color="CFE2F3" w:fill="CFE2F3"/>
            <w:noWrap/>
            <w:vAlign w:val="bottom"/>
            <w:hideMark/>
          </w:tcPr>
          <w:p w14:paraId="663C5A47"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189</w:t>
            </w:r>
          </w:p>
        </w:tc>
      </w:tr>
      <w:tr w:rsidR="009433D1" w:rsidRPr="009433D1" w14:paraId="4477CBB3" w14:textId="77777777" w:rsidTr="009433D1">
        <w:trPr>
          <w:trHeight w:val="285"/>
        </w:trPr>
        <w:tc>
          <w:tcPr>
            <w:tcW w:w="5467" w:type="dxa"/>
            <w:tcBorders>
              <w:top w:val="single" w:sz="4" w:space="0" w:color="000000"/>
              <w:left w:val="single" w:sz="4" w:space="0" w:color="000000"/>
              <w:bottom w:val="single" w:sz="4" w:space="0" w:color="000000"/>
              <w:right w:val="single" w:sz="4" w:space="0" w:color="000000"/>
            </w:tcBorders>
            <w:noWrap/>
            <w:vAlign w:val="bottom"/>
            <w:hideMark/>
          </w:tcPr>
          <w:p w14:paraId="6B40B24D" w14:textId="77777777" w:rsidR="009433D1" w:rsidRPr="009433D1" w:rsidRDefault="009433D1" w:rsidP="009433D1">
            <w:pPr>
              <w:spacing w:after="0" w:line="240" w:lineRule="auto"/>
              <w:rPr>
                <w:rFonts w:ascii="Arial" w:eastAsia="Times New Roman" w:hAnsi="Arial" w:cs="Arial"/>
                <w:color w:val="000000"/>
              </w:rPr>
            </w:pPr>
            <w:r w:rsidRPr="009433D1">
              <w:rPr>
                <w:rFonts w:ascii="Arial" w:eastAsia="Times New Roman" w:hAnsi="Arial" w:cs="Arial"/>
                <w:color w:val="000000"/>
              </w:rPr>
              <w:t>Total Referrals**</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C0535C0"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696</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EEBD14D"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692</w:t>
            </w:r>
          </w:p>
        </w:tc>
        <w:tc>
          <w:tcPr>
            <w:tcW w:w="65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7C96CEA"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651</w:t>
            </w:r>
          </w:p>
        </w:tc>
        <w:tc>
          <w:tcPr>
            <w:tcW w:w="76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563FCBD"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1017</w:t>
            </w:r>
          </w:p>
        </w:tc>
        <w:tc>
          <w:tcPr>
            <w:tcW w:w="81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07E3AD30" w14:textId="77777777" w:rsidR="009433D1" w:rsidRPr="009433D1" w:rsidRDefault="009433D1" w:rsidP="009433D1">
            <w:pPr>
              <w:spacing w:after="0" w:line="240" w:lineRule="auto"/>
              <w:jc w:val="center"/>
              <w:rPr>
                <w:rFonts w:ascii="Arial" w:eastAsia="Times New Roman" w:hAnsi="Arial" w:cs="Arial"/>
                <w:color w:val="000000"/>
              </w:rPr>
            </w:pPr>
            <w:r w:rsidRPr="009433D1">
              <w:rPr>
                <w:rFonts w:ascii="Arial" w:eastAsia="Times New Roman" w:hAnsi="Arial" w:cs="Arial"/>
                <w:color w:val="000000"/>
              </w:rPr>
              <w:t>3056</w:t>
            </w:r>
          </w:p>
        </w:tc>
      </w:tr>
      <w:tr w:rsidR="009433D1" w:rsidRPr="009433D1" w14:paraId="0540877C" w14:textId="77777777" w:rsidTr="009433D1">
        <w:trPr>
          <w:trHeight w:val="255"/>
        </w:trPr>
        <w:tc>
          <w:tcPr>
            <w:tcW w:w="9000" w:type="dxa"/>
            <w:gridSpan w:val="6"/>
            <w:tcBorders>
              <w:top w:val="nil"/>
              <w:left w:val="nil"/>
              <w:bottom w:val="nil"/>
              <w:right w:val="nil"/>
            </w:tcBorders>
            <w:noWrap/>
            <w:vAlign w:val="bottom"/>
            <w:hideMark/>
          </w:tcPr>
          <w:p w14:paraId="42CE73E2" w14:textId="77777777" w:rsidR="009433D1" w:rsidRPr="009433D1" w:rsidRDefault="009433D1" w:rsidP="009433D1">
            <w:pPr>
              <w:spacing w:after="0" w:line="240" w:lineRule="auto"/>
              <w:rPr>
                <w:rFonts w:ascii="Arial" w:eastAsia="Times New Roman" w:hAnsi="Arial" w:cs="Arial"/>
                <w:i/>
                <w:iCs/>
                <w:color w:val="000000"/>
                <w:sz w:val="20"/>
                <w:szCs w:val="20"/>
              </w:rPr>
            </w:pPr>
            <w:r w:rsidRPr="009433D1">
              <w:rPr>
                <w:rFonts w:ascii="Arial" w:eastAsia="Times New Roman" w:hAnsi="Arial" w:cs="Arial"/>
                <w:i/>
                <w:iCs/>
                <w:color w:val="000000"/>
                <w:sz w:val="20"/>
                <w:szCs w:val="20"/>
              </w:rPr>
              <w:t xml:space="preserve">*63% of </w:t>
            </w:r>
            <w:r w:rsidRPr="009433D1">
              <w:rPr>
                <w:rFonts w:ascii="Arial" w:eastAsia="Times New Roman" w:hAnsi="Arial" w:cs="Arial"/>
                <w:i/>
                <w:iCs/>
                <w:color w:val="000000"/>
                <w:sz w:val="20"/>
                <w:szCs w:val="20"/>
                <w:u w:val="single"/>
              </w:rPr>
              <w:t>total</w:t>
            </w:r>
            <w:r w:rsidRPr="009433D1">
              <w:rPr>
                <w:rFonts w:ascii="Arial" w:eastAsia="Times New Roman" w:hAnsi="Arial" w:cs="Arial"/>
                <w:i/>
                <w:iCs/>
                <w:color w:val="000000"/>
                <w:sz w:val="20"/>
                <w:szCs w:val="20"/>
              </w:rPr>
              <w:t xml:space="preserve"> </w:t>
            </w:r>
            <w:r w:rsidRPr="009433D1">
              <w:rPr>
                <w:rFonts w:ascii="Arial" w:eastAsia="Times New Roman" w:hAnsi="Arial" w:cs="Arial"/>
                <w:b/>
                <w:bCs/>
                <w:i/>
                <w:iCs/>
                <w:color w:val="000000"/>
                <w:sz w:val="20"/>
                <w:szCs w:val="20"/>
              </w:rPr>
              <w:t xml:space="preserve">waitlist </w:t>
            </w:r>
            <w:r w:rsidRPr="009433D1">
              <w:rPr>
                <w:rFonts w:ascii="Arial" w:eastAsia="Times New Roman" w:hAnsi="Arial" w:cs="Arial"/>
                <w:i/>
                <w:iCs/>
                <w:color w:val="000000"/>
                <w:sz w:val="20"/>
                <w:szCs w:val="20"/>
              </w:rPr>
              <w:t>are comprehensive/DK assessments, and 37% are gifted assessments</w:t>
            </w:r>
          </w:p>
        </w:tc>
      </w:tr>
      <w:tr w:rsidR="009433D1" w:rsidRPr="009433D1" w14:paraId="195A4CA3" w14:textId="77777777" w:rsidTr="009433D1">
        <w:trPr>
          <w:trHeight w:val="255"/>
        </w:trPr>
        <w:tc>
          <w:tcPr>
            <w:tcW w:w="9000" w:type="dxa"/>
            <w:gridSpan w:val="6"/>
            <w:tcBorders>
              <w:top w:val="nil"/>
              <w:left w:val="nil"/>
              <w:bottom w:val="nil"/>
              <w:right w:val="nil"/>
            </w:tcBorders>
            <w:noWrap/>
            <w:vAlign w:val="bottom"/>
            <w:hideMark/>
          </w:tcPr>
          <w:p w14:paraId="179A667B" w14:textId="77777777" w:rsidR="009433D1" w:rsidRPr="009433D1" w:rsidRDefault="009433D1" w:rsidP="009433D1">
            <w:pPr>
              <w:spacing w:after="0" w:line="240" w:lineRule="auto"/>
              <w:rPr>
                <w:rFonts w:ascii="Arial" w:eastAsia="Times New Roman" w:hAnsi="Arial" w:cs="Arial"/>
                <w:i/>
                <w:iCs/>
                <w:color w:val="000000"/>
                <w:sz w:val="20"/>
                <w:szCs w:val="20"/>
              </w:rPr>
            </w:pPr>
            <w:r w:rsidRPr="009433D1">
              <w:rPr>
                <w:rFonts w:ascii="Arial" w:eastAsia="Times New Roman" w:hAnsi="Arial" w:cs="Arial"/>
                <w:i/>
                <w:iCs/>
                <w:color w:val="000000"/>
                <w:sz w:val="20"/>
                <w:szCs w:val="20"/>
              </w:rPr>
              <w:t xml:space="preserve">**75% of </w:t>
            </w:r>
            <w:r w:rsidRPr="009433D1">
              <w:rPr>
                <w:rFonts w:ascii="Arial" w:eastAsia="Times New Roman" w:hAnsi="Arial" w:cs="Arial"/>
                <w:i/>
                <w:iCs/>
                <w:color w:val="000000"/>
                <w:sz w:val="20"/>
                <w:szCs w:val="20"/>
                <w:u w:val="single"/>
              </w:rPr>
              <w:t>total</w:t>
            </w:r>
            <w:r w:rsidRPr="009433D1">
              <w:rPr>
                <w:rFonts w:ascii="Arial" w:eastAsia="Times New Roman" w:hAnsi="Arial" w:cs="Arial"/>
                <w:i/>
                <w:iCs/>
                <w:color w:val="000000"/>
                <w:sz w:val="20"/>
                <w:szCs w:val="20"/>
              </w:rPr>
              <w:t xml:space="preserve"> </w:t>
            </w:r>
            <w:r w:rsidRPr="009433D1">
              <w:rPr>
                <w:rFonts w:ascii="Arial" w:eastAsia="Times New Roman" w:hAnsi="Arial" w:cs="Arial"/>
                <w:b/>
                <w:bCs/>
                <w:i/>
                <w:iCs/>
                <w:color w:val="000000"/>
                <w:sz w:val="20"/>
                <w:szCs w:val="20"/>
              </w:rPr>
              <w:t xml:space="preserve">referrals </w:t>
            </w:r>
            <w:r w:rsidRPr="009433D1">
              <w:rPr>
                <w:rFonts w:ascii="Arial" w:eastAsia="Times New Roman" w:hAnsi="Arial" w:cs="Arial"/>
                <w:i/>
                <w:iCs/>
                <w:color w:val="000000"/>
                <w:sz w:val="20"/>
                <w:szCs w:val="20"/>
              </w:rPr>
              <w:t>are for comprehensive/DK assessments, and 25% are gifted assessments</w:t>
            </w:r>
          </w:p>
        </w:tc>
      </w:tr>
      <w:tr w:rsidR="009433D1" w:rsidRPr="009433D1" w14:paraId="53F7768C" w14:textId="77777777" w:rsidTr="009433D1">
        <w:trPr>
          <w:trHeight w:val="285"/>
        </w:trPr>
        <w:tc>
          <w:tcPr>
            <w:tcW w:w="5467" w:type="dxa"/>
            <w:tcBorders>
              <w:top w:val="nil"/>
              <w:left w:val="nil"/>
              <w:bottom w:val="nil"/>
              <w:right w:val="nil"/>
            </w:tcBorders>
            <w:noWrap/>
            <w:vAlign w:val="bottom"/>
            <w:hideMark/>
          </w:tcPr>
          <w:p w14:paraId="383AB56C" w14:textId="77777777" w:rsidR="009433D1" w:rsidRPr="009433D1" w:rsidRDefault="009433D1" w:rsidP="009433D1">
            <w:pPr>
              <w:spacing w:after="0" w:line="240" w:lineRule="auto"/>
              <w:rPr>
                <w:rFonts w:ascii="Arial" w:eastAsia="Times New Roman" w:hAnsi="Arial" w:cs="Arial"/>
                <w:i/>
                <w:iCs/>
                <w:color w:val="000000"/>
                <w:sz w:val="20"/>
                <w:szCs w:val="20"/>
              </w:rPr>
            </w:pPr>
          </w:p>
        </w:tc>
        <w:tc>
          <w:tcPr>
            <w:tcW w:w="653" w:type="dxa"/>
            <w:tcBorders>
              <w:top w:val="nil"/>
              <w:left w:val="nil"/>
              <w:bottom w:val="nil"/>
              <w:right w:val="nil"/>
            </w:tcBorders>
            <w:noWrap/>
            <w:vAlign w:val="bottom"/>
            <w:hideMark/>
          </w:tcPr>
          <w:p w14:paraId="3F4ED085" w14:textId="77777777" w:rsidR="009433D1" w:rsidRPr="009433D1" w:rsidRDefault="009433D1" w:rsidP="009433D1">
            <w:pPr>
              <w:spacing w:after="0" w:line="240" w:lineRule="auto"/>
              <w:rPr>
                <w:rFonts w:ascii="Times New Roman" w:eastAsia="Times New Roman" w:hAnsi="Times New Roman" w:cs="Times New Roman"/>
                <w:sz w:val="20"/>
                <w:szCs w:val="20"/>
              </w:rPr>
            </w:pPr>
          </w:p>
        </w:tc>
        <w:tc>
          <w:tcPr>
            <w:tcW w:w="653" w:type="dxa"/>
            <w:tcBorders>
              <w:top w:val="nil"/>
              <w:left w:val="nil"/>
              <w:bottom w:val="nil"/>
              <w:right w:val="nil"/>
            </w:tcBorders>
            <w:noWrap/>
            <w:vAlign w:val="bottom"/>
            <w:hideMark/>
          </w:tcPr>
          <w:p w14:paraId="4DA24174" w14:textId="77777777" w:rsidR="009433D1" w:rsidRPr="009433D1" w:rsidRDefault="009433D1" w:rsidP="009433D1">
            <w:pPr>
              <w:spacing w:after="0" w:line="240" w:lineRule="auto"/>
              <w:rPr>
                <w:rFonts w:ascii="Times New Roman" w:eastAsia="Times New Roman" w:hAnsi="Times New Roman" w:cs="Times New Roman"/>
                <w:sz w:val="20"/>
                <w:szCs w:val="20"/>
              </w:rPr>
            </w:pPr>
          </w:p>
        </w:tc>
        <w:tc>
          <w:tcPr>
            <w:tcW w:w="653" w:type="dxa"/>
            <w:tcBorders>
              <w:top w:val="nil"/>
              <w:left w:val="nil"/>
              <w:bottom w:val="nil"/>
              <w:right w:val="nil"/>
            </w:tcBorders>
            <w:noWrap/>
            <w:vAlign w:val="bottom"/>
            <w:hideMark/>
          </w:tcPr>
          <w:p w14:paraId="64B5CF63" w14:textId="77777777" w:rsidR="009433D1" w:rsidRPr="009433D1" w:rsidRDefault="009433D1" w:rsidP="009433D1">
            <w:pPr>
              <w:spacing w:after="0" w:line="240" w:lineRule="auto"/>
              <w:rPr>
                <w:rFonts w:ascii="Times New Roman" w:eastAsia="Times New Roman" w:hAnsi="Times New Roman" w:cs="Times New Roman"/>
                <w:sz w:val="20"/>
                <w:szCs w:val="20"/>
              </w:rPr>
            </w:pPr>
          </w:p>
        </w:tc>
        <w:tc>
          <w:tcPr>
            <w:tcW w:w="761" w:type="dxa"/>
            <w:tcBorders>
              <w:top w:val="nil"/>
              <w:left w:val="nil"/>
              <w:bottom w:val="nil"/>
              <w:right w:val="nil"/>
            </w:tcBorders>
            <w:noWrap/>
            <w:vAlign w:val="bottom"/>
            <w:hideMark/>
          </w:tcPr>
          <w:p w14:paraId="2DE1F769" w14:textId="77777777" w:rsidR="009433D1" w:rsidRPr="009433D1" w:rsidRDefault="009433D1" w:rsidP="009433D1">
            <w:pPr>
              <w:spacing w:after="0" w:line="240" w:lineRule="auto"/>
              <w:rPr>
                <w:rFonts w:ascii="Times New Roman" w:eastAsia="Times New Roman" w:hAnsi="Times New Roman" w:cs="Times New Roman"/>
                <w:sz w:val="20"/>
                <w:szCs w:val="20"/>
              </w:rPr>
            </w:pPr>
          </w:p>
        </w:tc>
        <w:tc>
          <w:tcPr>
            <w:tcW w:w="813" w:type="dxa"/>
            <w:tcBorders>
              <w:top w:val="nil"/>
              <w:left w:val="nil"/>
              <w:bottom w:val="nil"/>
              <w:right w:val="nil"/>
            </w:tcBorders>
            <w:noWrap/>
            <w:vAlign w:val="bottom"/>
            <w:hideMark/>
          </w:tcPr>
          <w:p w14:paraId="50DD46F1" w14:textId="77777777" w:rsidR="009433D1" w:rsidRPr="009433D1" w:rsidRDefault="009433D1" w:rsidP="009433D1">
            <w:pPr>
              <w:spacing w:after="0" w:line="240" w:lineRule="auto"/>
              <w:rPr>
                <w:rFonts w:ascii="Times New Roman" w:eastAsia="Times New Roman" w:hAnsi="Times New Roman" w:cs="Times New Roman"/>
                <w:sz w:val="20"/>
                <w:szCs w:val="20"/>
              </w:rPr>
            </w:pPr>
          </w:p>
        </w:tc>
      </w:tr>
    </w:tbl>
    <w:p w14:paraId="02D05BAA" w14:textId="0E5938F1" w:rsidR="009433D1" w:rsidRDefault="009433D1">
      <w:pPr>
        <w:spacing w:after="0" w:line="240" w:lineRule="auto"/>
        <w:jc w:val="both"/>
        <w:rPr>
          <w:rFonts w:ascii="Arial" w:eastAsia="Arial" w:hAnsi="Arial" w:cs="Arial"/>
          <w:b/>
          <w:sz w:val="28"/>
          <w:szCs w:val="28"/>
        </w:rPr>
      </w:pPr>
    </w:p>
    <w:p w14:paraId="0FEA212A" w14:textId="240707CD" w:rsidR="009433D1" w:rsidRDefault="009433D1">
      <w:pPr>
        <w:spacing w:after="0" w:line="240" w:lineRule="auto"/>
        <w:jc w:val="both"/>
        <w:rPr>
          <w:rFonts w:ascii="Arial" w:eastAsia="Arial" w:hAnsi="Arial" w:cs="Arial"/>
          <w:b/>
          <w:sz w:val="28"/>
          <w:szCs w:val="28"/>
        </w:rPr>
      </w:pPr>
    </w:p>
    <w:p w14:paraId="3CC2F826" w14:textId="1EB697E2" w:rsidR="009433D1" w:rsidRDefault="009433D1">
      <w:pPr>
        <w:spacing w:after="0" w:line="240" w:lineRule="auto"/>
        <w:jc w:val="both"/>
        <w:rPr>
          <w:rFonts w:ascii="Arial" w:eastAsia="Arial" w:hAnsi="Arial" w:cs="Arial"/>
          <w:b/>
          <w:sz w:val="28"/>
          <w:szCs w:val="28"/>
        </w:rPr>
      </w:pPr>
    </w:p>
    <w:p w14:paraId="5DED76EA" w14:textId="79F7E996" w:rsidR="009433D1" w:rsidRDefault="009433D1">
      <w:pPr>
        <w:spacing w:after="0" w:line="240" w:lineRule="auto"/>
        <w:jc w:val="both"/>
        <w:rPr>
          <w:rFonts w:ascii="Arial" w:eastAsia="Arial" w:hAnsi="Arial" w:cs="Arial"/>
          <w:b/>
          <w:sz w:val="28"/>
          <w:szCs w:val="28"/>
        </w:rPr>
      </w:pPr>
    </w:p>
    <w:p w14:paraId="36C925FD" w14:textId="5DC3368C" w:rsidR="009433D1" w:rsidRDefault="009433D1">
      <w:pPr>
        <w:spacing w:after="0" w:line="240" w:lineRule="auto"/>
        <w:jc w:val="both"/>
        <w:rPr>
          <w:rFonts w:ascii="Arial" w:eastAsia="Arial" w:hAnsi="Arial" w:cs="Arial"/>
          <w:b/>
          <w:sz w:val="28"/>
          <w:szCs w:val="28"/>
        </w:rPr>
      </w:pPr>
    </w:p>
    <w:p w14:paraId="25107852" w14:textId="03E4A501" w:rsidR="009433D1" w:rsidRDefault="009433D1">
      <w:pPr>
        <w:spacing w:after="0" w:line="240" w:lineRule="auto"/>
        <w:jc w:val="both"/>
        <w:rPr>
          <w:rFonts w:ascii="Arial" w:eastAsia="Arial" w:hAnsi="Arial" w:cs="Arial"/>
          <w:b/>
          <w:sz w:val="28"/>
          <w:szCs w:val="28"/>
        </w:rPr>
      </w:pPr>
    </w:p>
    <w:p w14:paraId="67F69CCE" w14:textId="77777777" w:rsidR="009433D1" w:rsidRDefault="009433D1" w:rsidP="009433D1">
      <w:r w:rsidRPr="004F56BC">
        <w:rPr>
          <w:noProof/>
          <w:shd w:val="clear" w:color="auto" w:fill="4472C4" w:themeFill="accent1"/>
        </w:rPr>
        <w:drawing>
          <wp:inline distT="0" distB="0" distL="0" distR="0" wp14:anchorId="152E0AEE" wp14:editId="226603E9">
            <wp:extent cx="5869940" cy="3771900"/>
            <wp:effectExtent l="0" t="0" r="1651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EA6F29" w14:textId="77777777" w:rsidR="009433D1" w:rsidRDefault="009433D1" w:rsidP="009433D1">
      <w:pPr>
        <w:rPr>
          <w:rFonts w:ascii="Arial" w:hAnsi="Arial" w:cs="Arial"/>
        </w:rPr>
      </w:pPr>
      <w:r w:rsidRPr="00365D53">
        <w:rPr>
          <w:rFonts w:ascii="Arial" w:hAnsi="Arial" w:cs="Arial"/>
        </w:rPr>
        <w:t xml:space="preserve">Since </w:t>
      </w:r>
      <w:r w:rsidRPr="00365D53">
        <w:rPr>
          <w:rFonts w:ascii="Arial" w:hAnsi="Arial" w:cs="Arial"/>
          <w:u w:val="single"/>
        </w:rPr>
        <w:t>September 2022</w:t>
      </w:r>
      <w:r w:rsidRPr="00365D53">
        <w:rPr>
          <w:rFonts w:ascii="Arial" w:hAnsi="Arial" w:cs="Arial"/>
        </w:rPr>
        <w:t xml:space="preserve">, the total number of referrals is </w:t>
      </w:r>
      <w:r>
        <w:rPr>
          <w:rFonts w:ascii="Arial" w:hAnsi="Arial" w:cs="Arial"/>
          <w:b/>
          <w:bCs/>
        </w:rPr>
        <w:t>3056</w:t>
      </w:r>
      <w:r w:rsidRPr="00365D53">
        <w:rPr>
          <w:rFonts w:ascii="Arial" w:hAnsi="Arial" w:cs="Arial"/>
        </w:rPr>
        <w:t xml:space="preserve"> (</w:t>
      </w:r>
      <w:r w:rsidRPr="00365D53">
        <w:rPr>
          <w:rFonts w:ascii="Arial" w:hAnsi="Arial" w:cs="Arial"/>
          <w:i/>
          <w:iCs/>
        </w:rPr>
        <w:t>DK-</w:t>
      </w:r>
      <w:r>
        <w:rPr>
          <w:rFonts w:ascii="Arial" w:hAnsi="Arial" w:cs="Arial"/>
          <w:i/>
          <w:iCs/>
        </w:rPr>
        <w:t>212</w:t>
      </w:r>
      <w:r w:rsidRPr="00365D53">
        <w:rPr>
          <w:rFonts w:ascii="Arial" w:hAnsi="Arial" w:cs="Arial"/>
          <w:i/>
          <w:iCs/>
        </w:rPr>
        <w:t>; Gifted-</w:t>
      </w:r>
      <w:r>
        <w:rPr>
          <w:rFonts w:ascii="Arial" w:hAnsi="Arial" w:cs="Arial"/>
          <w:i/>
          <w:iCs/>
        </w:rPr>
        <w:t>755</w:t>
      </w:r>
      <w:r w:rsidRPr="00365D53">
        <w:rPr>
          <w:rFonts w:ascii="Arial" w:hAnsi="Arial" w:cs="Arial"/>
          <w:i/>
          <w:iCs/>
        </w:rPr>
        <w:t>; Comprehensive-</w:t>
      </w:r>
      <w:r>
        <w:rPr>
          <w:rFonts w:ascii="Arial" w:hAnsi="Arial" w:cs="Arial"/>
          <w:i/>
          <w:iCs/>
        </w:rPr>
        <w:t>2089</w:t>
      </w:r>
    </w:p>
    <w:p w14:paraId="0EB7806B" w14:textId="77777777" w:rsidR="009433D1" w:rsidRPr="00365D53" w:rsidRDefault="009433D1" w:rsidP="009433D1">
      <w:pPr>
        <w:pStyle w:val="ListParagraph"/>
        <w:numPr>
          <w:ilvl w:val="0"/>
          <w:numId w:val="7"/>
        </w:numPr>
        <w:spacing w:after="160" w:line="259" w:lineRule="auto"/>
        <w:rPr>
          <w:rFonts w:ascii="Arial" w:hAnsi="Arial" w:cs="Arial"/>
        </w:rPr>
      </w:pPr>
      <w:r>
        <w:rPr>
          <w:rFonts w:ascii="Arial" w:hAnsi="Arial" w:cs="Arial"/>
          <w:b/>
          <w:bCs/>
        </w:rPr>
        <w:t>177</w:t>
      </w:r>
      <w:r w:rsidRPr="00365D53">
        <w:rPr>
          <w:rFonts w:ascii="Arial" w:hAnsi="Arial" w:cs="Arial"/>
          <w:b/>
          <w:bCs/>
        </w:rPr>
        <w:t xml:space="preserve"> Comprehensive</w:t>
      </w:r>
      <w:r>
        <w:rPr>
          <w:rFonts w:ascii="Arial" w:hAnsi="Arial" w:cs="Arial"/>
          <w:b/>
          <w:bCs/>
        </w:rPr>
        <w:t xml:space="preserve"> (incl. DK) were removed</w:t>
      </w:r>
      <w:r w:rsidRPr="00365D53">
        <w:rPr>
          <w:rFonts w:ascii="Arial" w:hAnsi="Arial" w:cs="Arial"/>
        </w:rPr>
        <w:t xml:space="preserve"> (</w:t>
      </w:r>
      <w:r>
        <w:rPr>
          <w:rFonts w:ascii="Arial" w:hAnsi="Arial" w:cs="Arial"/>
          <w:i/>
          <w:iCs/>
        </w:rPr>
        <w:t>2124</w:t>
      </w:r>
      <w:r w:rsidRPr="00365D53">
        <w:rPr>
          <w:rFonts w:ascii="Arial" w:hAnsi="Arial" w:cs="Arial"/>
        </w:rPr>
        <w:t xml:space="preserve">) &amp; </w:t>
      </w:r>
      <w:r>
        <w:rPr>
          <w:rFonts w:ascii="Arial" w:hAnsi="Arial" w:cs="Arial"/>
          <w:b/>
          <w:bCs/>
        </w:rPr>
        <w:t>12</w:t>
      </w:r>
      <w:r w:rsidRPr="00365D53">
        <w:rPr>
          <w:rFonts w:ascii="Arial" w:hAnsi="Arial" w:cs="Arial"/>
          <w:b/>
          <w:bCs/>
        </w:rPr>
        <w:t xml:space="preserve"> Gifted were removed</w:t>
      </w:r>
      <w:r w:rsidRPr="00365D53">
        <w:rPr>
          <w:rFonts w:ascii="Arial" w:hAnsi="Arial" w:cs="Arial"/>
        </w:rPr>
        <w:t xml:space="preserve"> (</w:t>
      </w:r>
      <w:r>
        <w:rPr>
          <w:rFonts w:ascii="Arial" w:hAnsi="Arial" w:cs="Arial"/>
        </w:rPr>
        <w:t>743</w:t>
      </w:r>
      <w:r w:rsidRPr="00365D53">
        <w:rPr>
          <w:rFonts w:ascii="Arial" w:hAnsi="Arial" w:cs="Arial"/>
        </w:rPr>
        <w:t xml:space="preserve">). </w:t>
      </w:r>
    </w:p>
    <w:p w14:paraId="30C63A8D" w14:textId="77777777" w:rsidR="009433D1" w:rsidRPr="00365D53" w:rsidRDefault="009433D1" w:rsidP="009433D1">
      <w:pPr>
        <w:pStyle w:val="ListParagraph"/>
        <w:numPr>
          <w:ilvl w:val="0"/>
          <w:numId w:val="7"/>
        </w:numPr>
        <w:spacing w:after="160" w:line="259" w:lineRule="auto"/>
        <w:rPr>
          <w:rFonts w:ascii="Arial" w:hAnsi="Arial" w:cs="Arial"/>
          <w:b/>
          <w:bCs/>
        </w:rPr>
      </w:pPr>
      <w:r w:rsidRPr="00365D53">
        <w:rPr>
          <w:rFonts w:ascii="Arial" w:hAnsi="Arial" w:cs="Arial"/>
        </w:rPr>
        <w:t>Gifted and DK referrals begin in late October</w:t>
      </w:r>
      <w:r>
        <w:rPr>
          <w:rFonts w:ascii="Arial" w:hAnsi="Arial" w:cs="Arial"/>
        </w:rPr>
        <w:t xml:space="preserve">, </w:t>
      </w:r>
      <w:r w:rsidRPr="00365D53">
        <w:rPr>
          <w:rFonts w:ascii="Arial" w:hAnsi="Arial" w:cs="Arial"/>
        </w:rPr>
        <w:t>November</w:t>
      </w:r>
      <w:r>
        <w:rPr>
          <w:rFonts w:ascii="Arial" w:hAnsi="Arial" w:cs="Arial"/>
        </w:rPr>
        <w:t xml:space="preserve"> and continued into December</w:t>
      </w:r>
      <w:r w:rsidRPr="00365D53">
        <w:rPr>
          <w:rFonts w:ascii="Arial" w:hAnsi="Arial" w:cs="Arial"/>
        </w:rPr>
        <w:t>.</w:t>
      </w:r>
    </w:p>
    <w:p w14:paraId="3FC0F71C" w14:textId="77777777" w:rsidR="009433D1" w:rsidRDefault="009433D1" w:rsidP="009433D1">
      <w:pPr>
        <w:rPr>
          <w:b/>
          <w:bCs/>
        </w:rPr>
      </w:pPr>
      <w:r>
        <w:rPr>
          <w:noProof/>
        </w:rPr>
        <w:lastRenderedPageBreak/>
        <w:drawing>
          <wp:inline distT="0" distB="0" distL="0" distR="0" wp14:anchorId="3EB0C501" wp14:editId="1E829C85">
            <wp:extent cx="5943600" cy="4254811"/>
            <wp:effectExtent l="0" t="0" r="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D4B660" w14:textId="77777777" w:rsidR="009433D1" w:rsidRDefault="009433D1" w:rsidP="009433D1">
      <w:r>
        <w:t>For Comprehensive Assessments: October 2022 had 737 Waitlist; November 2022 has 727 and December it is 824. There has been an increase which we expect due to this time of year. The Comprehensive assessments are continuing even though this is a 1.1% increase on the waitlist.</w:t>
      </w:r>
    </w:p>
    <w:p w14:paraId="43656C79" w14:textId="77777777" w:rsidR="009433D1" w:rsidRPr="00365D53" w:rsidRDefault="009433D1" w:rsidP="009433D1">
      <w:pPr>
        <w:pStyle w:val="ListParagraph"/>
        <w:numPr>
          <w:ilvl w:val="0"/>
          <w:numId w:val="8"/>
        </w:numPr>
        <w:spacing w:after="160" w:line="259" w:lineRule="auto"/>
      </w:pPr>
      <w:r>
        <w:t>As the DK and Gifted get completed, this waitlist for comprehensive will decrease throughout the school year.</w:t>
      </w:r>
    </w:p>
    <w:p w14:paraId="24FF3181" w14:textId="77777777" w:rsidR="009433D1" w:rsidRDefault="009433D1" w:rsidP="009433D1">
      <w:r w:rsidRPr="00412142">
        <w:t xml:space="preserve">This chart indicates the breakdown of the </w:t>
      </w:r>
      <w:r>
        <w:rPr>
          <w:b/>
          <w:bCs/>
        </w:rPr>
        <w:t>3056</w:t>
      </w:r>
      <w:r w:rsidRPr="002A71AB">
        <w:rPr>
          <w:b/>
          <w:bCs/>
        </w:rPr>
        <w:t xml:space="preserve"> psychological referrals</w:t>
      </w:r>
      <w:r>
        <w:rPr>
          <w:b/>
          <w:bCs/>
        </w:rPr>
        <w:t xml:space="preserve"> (</w:t>
      </w:r>
      <w:r w:rsidRPr="00365D53">
        <w:rPr>
          <w:b/>
          <w:bCs/>
          <w:i/>
          <w:iCs/>
        </w:rPr>
        <w:t>Gifted, Comprehensive &amp; DK</w:t>
      </w:r>
      <w:r>
        <w:rPr>
          <w:b/>
          <w:bCs/>
        </w:rPr>
        <w:t>)</w:t>
      </w:r>
      <w:r w:rsidRPr="00412142">
        <w:t xml:space="preserve"> received since September </w:t>
      </w:r>
      <w:r>
        <w:t>2022 to December 2022.</w:t>
      </w:r>
      <w:r w:rsidRPr="00412142">
        <w:t xml:space="preserve">  </w:t>
      </w:r>
    </w:p>
    <w:p w14:paraId="6D1AE9A4" w14:textId="77777777" w:rsidR="009433D1" w:rsidRDefault="009433D1" w:rsidP="009433D1">
      <w:pPr>
        <w:pStyle w:val="ListParagraph"/>
        <w:numPr>
          <w:ilvl w:val="0"/>
          <w:numId w:val="6"/>
        </w:numPr>
        <w:spacing w:after="160" w:line="259" w:lineRule="auto"/>
      </w:pPr>
      <w:r>
        <w:t xml:space="preserve">End of December 2022, </w:t>
      </w:r>
      <w:r>
        <w:rPr>
          <w:b/>
          <w:bCs/>
        </w:rPr>
        <w:t>901</w:t>
      </w:r>
      <w:r w:rsidRPr="00365D53">
        <w:rPr>
          <w:b/>
          <w:bCs/>
        </w:rPr>
        <w:t xml:space="preserve"> Compressive &amp; DK Assessments are on the waitlist</w:t>
      </w:r>
      <w:r>
        <w:t xml:space="preserve"> (</w:t>
      </w:r>
      <w:r>
        <w:rPr>
          <w:b/>
          <w:bCs/>
          <w:i/>
          <w:iCs/>
        </w:rPr>
        <w:t>824</w:t>
      </w:r>
      <w:r w:rsidRPr="00365D53">
        <w:rPr>
          <w:b/>
          <w:bCs/>
          <w:i/>
          <w:iCs/>
        </w:rPr>
        <w:t xml:space="preserve"> and </w:t>
      </w:r>
      <w:r>
        <w:rPr>
          <w:b/>
          <w:bCs/>
          <w:i/>
          <w:iCs/>
        </w:rPr>
        <w:t>80</w:t>
      </w:r>
      <w:r w:rsidRPr="00365D53">
        <w:rPr>
          <w:b/>
          <w:bCs/>
          <w:i/>
          <w:iCs/>
        </w:rPr>
        <w:t xml:space="preserve"> are Comprehensive &amp; DK Assessments respectively</w:t>
      </w:r>
      <w:r w:rsidRPr="00365D53">
        <w:rPr>
          <w:b/>
          <w:bCs/>
        </w:rPr>
        <w:t>)</w:t>
      </w:r>
    </w:p>
    <w:p w14:paraId="3C82393B" w14:textId="77777777" w:rsidR="009433D1" w:rsidRPr="00365D53" w:rsidRDefault="009433D1" w:rsidP="009433D1">
      <w:pPr>
        <w:pStyle w:val="ListParagraph"/>
        <w:numPr>
          <w:ilvl w:val="0"/>
          <w:numId w:val="6"/>
        </w:numPr>
        <w:spacing w:after="160" w:line="259" w:lineRule="auto"/>
      </w:pPr>
      <w:r>
        <w:rPr>
          <w:b/>
          <w:bCs/>
        </w:rPr>
        <w:t>We went from 184 Gifted Assessment Referrals to 755 Gifted Assessment Referrals at the end of December 2022.</w:t>
      </w:r>
    </w:p>
    <w:p w14:paraId="6ADA61A0" w14:textId="77777777" w:rsidR="009433D1" w:rsidRPr="00BC5143" w:rsidRDefault="009433D1" w:rsidP="009433D1">
      <w:pPr>
        <w:pStyle w:val="ListParagraph"/>
        <w:numPr>
          <w:ilvl w:val="0"/>
          <w:numId w:val="2"/>
        </w:numPr>
        <w:spacing w:after="0" w:line="240" w:lineRule="auto"/>
      </w:pPr>
      <w:r>
        <w:rPr>
          <w:b/>
          <w:bCs/>
        </w:rPr>
        <w:t>677 Re</w:t>
      </w:r>
      <w:r w:rsidRPr="00412142">
        <w:rPr>
          <w:b/>
          <w:bCs/>
        </w:rPr>
        <w:t>ferrals (</w:t>
      </w:r>
      <w:r w:rsidRPr="00365D53">
        <w:rPr>
          <w:b/>
          <w:bCs/>
          <w:i/>
          <w:iCs/>
        </w:rPr>
        <w:t>Comprehensive &amp; Gifted</w:t>
      </w:r>
      <w:r w:rsidRPr="00412142">
        <w:rPr>
          <w:b/>
          <w:bCs/>
        </w:rPr>
        <w:t>) have been completed since September 202</w:t>
      </w:r>
      <w:r>
        <w:rPr>
          <w:b/>
          <w:bCs/>
        </w:rPr>
        <w:t>2</w:t>
      </w:r>
      <w:r w:rsidRPr="00412142">
        <w:rPr>
          <w:b/>
          <w:bCs/>
        </w:rPr>
        <w:t>.</w:t>
      </w:r>
      <w:r>
        <w:rPr>
          <w:b/>
          <w:bCs/>
        </w:rPr>
        <w:t xml:space="preserve">  </w:t>
      </w:r>
    </w:p>
    <w:p w14:paraId="56E0251E" w14:textId="77777777" w:rsidR="009433D1" w:rsidRPr="00365D53" w:rsidRDefault="009433D1" w:rsidP="009433D1">
      <w:pPr>
        <w:pStyle w:val="ListParagraph"/>
        <w:numPr>
          <w:ilvl w:val="0"/>
          <w:numId w:val="2"/>
        </w:numPr>
        <w:spacing w:after="0" w:line="240" w:lineRule="auto"/>
        <w:rPr>
          <w:b/>
          <w:bCs/>
        </w:rPr>
      </w:pPr>
      <w:r>
        <w:rPr>
          <w:b/>
          <w:bCs/>
        </w:rPr>
        <w:t xml:space="preserve"> 753 Re</w:t>
      </w:r>
      <w:r w:rsidRPr="00412142">
        <w:rPr>
          <w:b/>
          <w:bCs/>
        </w:rPr>
        <w:t>ferrals (</w:t>
      </w:r>
      <w:r w:rsidRPr="00365D53">
        <w:rPr>
          <w:b/>
          <w:bCs/>
          <w:i/>
          <w:iCs/>
        </w:rPr>
        <w:t>Comprehensive, DK &amp; Gifted</w:t>
      </w:r>
      <w:r w:rsidRPr="00412142">
        <w:rPr>
          <w:b/>
          <w:bCs/>
        </w:rPr>
        <w:t>) are in progress</w:t>
      </w:r>
    </w:p>
    <w:p w14:paraId="6FFCE29C" w14:textId="77777777" w:rsidR="009433D1" w:rsidRPr="00412142" w:rsidRDefault="009433D1" w:rsidP="009433D1">
      <w:pPr>
        <w:pStyle w:val="ListParagraph"/>
        <w:numPr>
          <w:ilvl w:val="0"/>
          <w:numId w:val="2"/>
        </w:numPr>
        <w:spacing w:after="0" w:line="240" w:lineRule="auto"/>
        <w:rPr>
          <w:b/>
          <w:bCs/>
        </w:rPr>
      </w:pPr>
      <w:r>
        <w:rPr>
          <w:b/>
          <w:bCs/>
        </w:rPr>
        <w:t>189 (1 C77omprehensive &amp; 12 Gifted referrals)</w:t>
      </w:r>
      <w:r w:rsidRPr="00412142">
        <w:rPr>
          <w:b/>
          <w:bCs/>
        </w:rPr>
        <w:t xml:space="preserve"> have been removed for some the</w:t>
      </w:r>
      <w:r>
        <w:rPr>
          <w:b/>
          <w:bCs/>
        </w:rPr>
        <w:t>se</w:t>
      </w:r>
      <w:r w:rsidRPr="00412142">
        <w:rPr>
          <w:b/>
          <w:bCs/>
        </w:rPr>
        <w:t xml:space="preserve"> following reasons</w:t>
      </w:r>
      <w:r>
        <w:rPr>
          <w:b/>
          <w:bCs/>
        </w:rPr>
        <w:t>:</w:t>
      </w:r>
    </w:p>
    <w:p w14:paraId="538E7E65" w14:textId="77777777" w:rsidR="009433D1" w:rsidRPr="00412142" w:rsidRDefault="009433D1" w:rsidP="009433D1">
      <w:pPr>
        <w:pStyle w:val="ListParagraph"/>
        <w:numPr>
          <w:ilvl w:val="0"/>
          <w:numId w:val="3"/>
        </w:numPr>
        <w:spacing w:after="0" w:line="240" w:lineRule="auto"/>
        <w:rPr>
          <w:i/>
          <w:iCs/>
        </w:rPr>
      </w:pPr>
      <w:r w:rsidRPr="00412142">
        <w:rPr>
          <w:i/>
          <w:iCs/>
        </w:rPr>
        <w:t>The parent/guardian has not consented to the assessment</w:t>
      </w:r>
    </w:p>
    <w:p w14:paraId="1C93CF1F" w14:textId="77777777" w:rsidR="009433D1" w:rsidRPr="00412142" w:rsidRDefault="009433D1" w:rsidP="009433D1">
      <w:pPr>
        <w:pStyle w:val="ListParagraph"/>
        <w:numPr>
          <w:ilvl w:val="0"/>
          <w:numId w:val="3"/>
        </w:numPr>
        <w:spacing w:after="0" w:line="240" w:lineRule="auto"/>
        <w:rPr>
          <w:i/>
          <w:iCs/>
        </w:rPr>
      </w:pPr>
      <w:r w:rsidRPr="00412142">
        <w:rPr>
          <w:i/>
          <w:iCs/>
        </w:rPr>
        <w:t>The student has left the board</w:t>
      </w:r>
    </w:p>
    <w:p w14:paraId="6D7D9759" w14:textId="77777777" w:rsidR="009433D1" w:rsidRPr="00412142" w:rsidRDefault="009433D1" w:rsidP="009433D1">
      <w:pPr>
        <w:pStyle w:val="ListParagraph"/>
        <w:numPr>
          <w:ilvl w:val="0"/>
          <w:numId w:val="3"/>
        </w:numPr>
        <w:spacing w:after="0" w:line="240" w:lineRule="auto"/>
        <w:rPr>
          <w:i/>
          <w:iCs/>
        </w:rPr>
      </w:pPr>
      <w:r w:rsidRPr="00412142">
        <w:rPr>
          <w:i/>
          <w:iCs/>
        </w:rPr>
        <w:lastRenderedPageBreak/>
        <w:t xml:space="preserve">The student moved out of the </w:t>
      </w:r>
      <w:r>
        <w:rPr>
          <w:i/>
          <w:iCs/>
        </w:rPr>
        <w:t>city/region/providence/country</w:t>
      </w:r>
    </w:p>
    <w:p w14:paraId="06242F4A" w14:textId="77777777" w:rsidR="009433D1" w:rsidRPr="00412142" w:rsidRDefault="009433D1" w:rsidP="009433D1">
      <w:pPr>
        <w:pStyle w:val="ListParagraph"/>
        <w:numPr>
          <w:ilvl w:val="0"/>
          <w:numId w:val="3"/>
        </w:numPr>
        <w:spacing w:after="0" w:line="240" w:lineRule="auto"/>
        <w:rPr>
          <w:i/>
          <w:iCs/>
        </w:rPr>
      </w:pPr>
      <w:r w:rsidRPr="00412142">
        <w:rPr>
          <w:i/>
          <w:iCs/>
        </w:rPr>
        <w:t>Other supports were provided that supported the initial needs which initiated the assessment (trauma therapy; outside private psycho-educational assessment by parent/guardian; supports/differential strategies provided to the educators in the classroom that have positive outcomes etc.)</w:t>
      </w:r>
    </w:p>
    <w:p w14:paraId="3536EA66" w14:textId="77777777" w:rsidR="009433D1" w:rsidRDefault="009433D1" w:rsidP="009433D1">
      <w:pPr>
        <w:spacing w:after="0" w:line="240" w:lineRule="auto"/>
        <w:rPr>
          <w:b/>
          <w:bCs/>
        </w:rPr>
      </w:pPr>
    </w:p>
    <w:p w14:paraId="16CB0D98" w14:textId="77777777" w:rsidR="009433D1" w:rsidRDefault="009433D1" w:rsidP="009433D1">
      <w:pPr>
        <w:spacing w:after="0" w:line="240" w:lineRule="auto"/>
        <w:rPr>
          <w:b/>
          <w:bCs/>
        </w:rPr>
      </w:pPr>
    </w:p>
    <w:p w14:paraId="06D53F16" w14:textId="77777777" w:rsidR="009433D1" w:rsidRDefault="009433D1" w:rsidP="009433D1">
      <w:pPr>
        <w:spacing w:after="0" w:line="240" w:lineRule="auto"/>
        <w:rPr>
          <w:b/>
          <w:bCs/>
        </w:rPr>
      </w:pPr>
      <w:r>
        <w:rPr>
          <w:noProof/>
        </w:rPr>
        <mc:AlternateContent>
          <mc:Choice Requires="wps">
            <w:drawing>
              <wp:anchor distT="0" distB="0" distL="114300" distR="114300" simplePos="0" relativeHeight="251659264" behindDoc="0" locked="0" layoutInCell="1" allowOverlap="1" wp14:anchorId="13BB560A" wp14:editId="14E06832">
                <wp:simplePos x="0" y="0"/>
                <wp:positionH relativeFrom="column">
                  <wp:posOffset>3256395</wp:posOffset>
                </wp:positionH>
                <wp:positionV relativeFrom="paragraph">
                  <wp:posOffset>686349</wp:posOffset>
                </wp:positionV>
                <wp:extent cx="859536" cy="347472"/>
                <wp:effectExtent l="0" t="0" r="17145" b="14605"/>
                <wp:wrapNone/>
                <wp:docPr id="13" name="Text Box 13"/>
                <wp:cNvGraphicFramePr/>
                <a:graphic xmlns:a="http://schemas.openxmlformats.org/drawingml/2006/main">
                  <a:graphicData uri="http://schemas.microsoft.com/office/word/2010/wordprocessingShape">
                    <wps:wsp>
                      <wps:cNvSpPr txBox="1"/>
                      <wps:spPr>
                        <a:xfrm>
                          <a:off x="0" y="0"/>
                          <a:ext cx="859536" cy="347472"/>
                        </a:xfrm>
                        <a:prstGeom prst="rect">
                          <a:avLst/>
                        </a:prstGeom>
                        <a:solidFill>
                          <a:sysClr val="window" lastClr="FFFFFF"/>
                        </a:solidFill>
                        <a:ln w="0">
                          <a:solidFill>
                            <a:prstClr val="black"/>
                          </a:solidFill>
                        </a:ln>
                      </wps:spPr>
                      <wps:txbx>
                        <w:txbxContent>
                          <w:p w14:paraId="5FF96133" w14:textId="77777777" w:rsidR="009433D1" w:rsidRPr="00801A86" w:rsidRDefault="009433D1" w:rsidP="009433D1">
                            <w:pPr>
                              <w:spacing w:after="0" w:line="240" w:lineRule="auto"/>
                              <w:jc w:val="center"/>
                              <w:rPr>
                                <w:rFonts w:ascii="Arial" w:hAnsi="Arial" w:cs="Arial"/>
                                <w:b/>
                                <w:bCs/>
                                <w:sz w:val="14"/>
                                <w:szCs w:val="14"/>
                              </w:rPr>
                            </w:pPr>
                            <w:r w:rsidRPr="00801A86">
                              <w:rPr>
                                <w:rFonts w:ascii="Arial" w:hAnsi="Arial" w:cs="Arial"/>
                                <w:b/>
                                <w:bCs/>
                                <w:sz w:val="14"/>
                                <w:szCs w:val="14"/>
                              </w:rPr>
                              <w:t>Total Referrals</w:t>
                            </w:r>
                          </w:p>
                          <w:p w14:paraId="7D12CC86" w14:textId="77777777" w:rsidR="009433D1" w:rsidRPr="00801A86" w:rsidRDefault="009433D1" w:rsidP="009433D1">
                            <w:pPr>
                              <w:spacing w:after="0" w:line="240" w:lineRule="auto"/>
                              <w:jc w:val="center"/>
                              <w:rPr>
                                <w:rFonts w:ascii="Arial" w:hAnsi="Arial" w:cs="Arial"/>
                                <w:b/>
                                <w:bCs/>
                                <w:sz w:val="14"/>
                                <w:szCs w:val="14"/>
                              </w:rPr>
                            </w:pPr>
                            <w:r>
                              <w:rPr>
                                <w:rFonts w:ascii="Arial" w:hAnsi="Arial" w:cs="Arial"/>
                                <w:b/>
                                <w:bCs/>
                                <w:sz w:val="14"/>
                                <w:szCs w:val="14"/>
                              </w:rPr>
                              <w:t>651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B560A" id="_x0000_t202" coordsize="21600,21600" o:spt="202" path="m,l,21600r21600,l21600,xe">
                <v:stroke joinstyle="miter"/>
                <v:path gradientshapeok="t" o:connecttype="rect"/>
              </v:shapetype>
              <v:shape id="Text Box 13" o:spid="_x0000_s1026" type="#_x0000_t202" style="position:absolute;margin-left:256.4pt;margin-top:54.05pt;width:67.7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" fillcolor="window" strokeweight="0">
                <v:textbox>
                  <w:txbxContent>
                    <w:p w14:paraId="5FF96133" w14:textId="77777777" w:rsidR="009433D1" w:rsidRPr="00801A86" w:rsidRDefault="009433D1" w:rsidP="009433D1">
                      <w:pPr>
                        <w:spacing w:after="0" w:line="240" w:lineRule="auto"/>
                        <w:jc w:val="center"/>
                        <w:rPr>
                          <w:rFonts w:ascii="Arial" w:hAnsi="Arial" w:cs="Arial"/>
                          <w:b/>
                          <w:bCs/>
                          <w:sz w:val="14"/>
                          <w:szCs w:val="14"/>
                        </w:rPr>
                      </w:pPr>
                      <w:r w:rsidRPr="00801A86">
                        <w:rPr>
                          <w:rFonts w:ascii="Arial" w:hAnsi="Arial" w:cs="Arial"/>
                          <w:b/>
                          <w:bCs/>
                          <w:sz w:val="14"/>
                          <w:szCs w:val="14"/>
                        </w:rPr>
                        <w:t>Total Referrals</w:t>
                      </w:r>
                    </w:p>
                    <w:p w14:paraId="7D12CC86" w14:textId="77777777" w:rsidR="009433D1" w:rsidRPr="00801A86" w:rsidRDefault="009433D1" w:rsidP="009433D1">
                      <w:pPr>
                        <w:spacing w:after="0" w:line="240" w:lineRule="auto"/>
                        <w:jc w:val="center"/>
                        <w:rPr>
                          <w:rFonts w:ascii="Arial" w:hAnsi="Arial" w:cs="Arial"/>
                          <w:b/>
                          <w:bCs/>
                          <w:sz w:val="14"/>
                          <w:szCs w:val="14"/>
                        </w:rPr>
                      </w:pPr>
                      <w:r>
                        <w:rPr>
                          <w:rFonts w:ascii="Arial" w:hAnsi="Arial" w:cs="Arial"/>
                          <w:b/>
                          <w:bCs/>
                          <w:sz w:val="14"/>
                          <w:szCs w:val="14"/>
                        </w:rPr>
                        <w:t>651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0A003D" wp14:editId="1AB7CEDF">
                <wp:simplePos x="0" y="0"/>
                <wp:positionH relativeFrom="column">
                  <wp:posOffset>757050</wp:posOffset>
                </wp:positionH>
                <wp:positionV relativeFrom="paragraph">
                  <wp:posOffset>693351</wp:posOffset>
                </wp:positionV>
                <wp:extent cx="884942" cy="357296"/>
                <wp:effectExtent l="0" t="0" r="10795" b="24130"/>
                <wp:wrapNone/>
                <wp:docPr id="9" name="Text Box 1"/>
                <wp:cNvGraphicFramePr/>
                <a:graphic xmlns:a="http://schemas.openxmlformats.org/drawingml/2006/main">
                  <a:graphicData uri="http://schemas.microsoft.com/office/word/2010/wordprocessingShape">
                    <wps:wsp>
                      <wps:cNvSpPr txBox="1"/>
                      <wps:spPr>
                        <a:xfrm>
                          <a:off x="0" y="0"/>
                          <a:ext cx="884942" cy="357296"/>
                        </a:xfrm>
                        <a:prstGeom prst="rect">
                          <a:avLst/>
                        </a:prstGeom>
                        <a:ln>
                          <a:solidFill>
                            <a:prstClr val="black"/>
                          </a:solidFill>
                        </a:ln>
                      </wps:spPr>
                      <wps:txbx>
                        <w:txbxContent>
                          <w:p w14:paraId="23FCC8B8" w14:textId="77777777" w:rsidR="009433D1" w:rsidRDefault="009433D1" w:rsidP="009433D1">
                            <w:pPr>
                              <w:spacing w:after="0" w:line="240" w:lineRule="auto"/>
                              <w:jc w:val="center"/>
                              <w:rPr>
                                <w:sz w:val="24"/>
                                <w:szCs w:val="24"/>
                              </w:rPr>
                            </w:pPr>
                            <w:r>
                              <w:rPr>
                                <w:rFonts w:ascii="Arial" w:eastAsia="+mn-ea" w:hAnsi="Arial" w:cs="Arial"/>
                                <w:b/>
                                <w:bCs/>
                                <w:sz w:val="14"/>
                                <w:szCs w:val="14"/>
                              </w:rPr>
                              <w:t>Total Referrals</w:t>
                            </w:r>
                          </w:p>
                          <w:p w14:paraId="33ACF2BE" w14:textId="77777777" w:rsidR="009433D1" w:rsidRDefault="009433D1" w:rsidP="009433D1">
                            <w:pPr>
                              <w:spacing w:after="0" w:line="240" w:lineRule="auto"/>
                              <w:jc w:val="center"/>
                            </w:pPr>
                            <w:r>
                              <w:rPr>
                                <w:rFonts w:ascii="Arial" w:eastAsia="+mn-ea" w:hAnsi="Arial" w:cs="Arial"/>
                                <w:b/>
                                <w:bCs/>
                                <w:sz w:val="14"/>
                                <w:szCs w:val="14"/>
                              </w:rPr>
                              <w:t>696</w:t>
                            </w:r>
                          </w:p>
                        </w:txbxContent>
                      </wps:txbx>
                      <wps:bodyPr vertOverflow="clip" wrap="square" rtlCol="0"/>
                    </wps:wsp>
                  </a:graphicData>
                </a:graphic>
              </wp:anchor>
            </w:drawing>
          </mc:Choice>
          <mc:Fallback>
            <w:pict>
              <v:shape w14:anchorId="000A003D" id="Text Box 1" o:spid="_x0000_s1027" type="#_x0000_t202" style="position:absolute;margin-left:59.6pt;margin-top:54.6pt;width:69.7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" filled="f">
                <v:textbox>
                  <w:txbxContent>
                    <w:p w14:paraId="23FCC8B8" w14:textId="77777777" w:rsidR="009433D1" w:rsidRDefault="009433D1" w:rsidP="009433D1">
                      <w:pPr>
                        <w:spacing w:after="0" w:line="240" w:lineRule="auto"/>
                        <w:jc w:val="center"/>
                        <w:rPr>
                          <w:sz w:val="24"/>
                          <w:szCs w:val="24"/>
                        </w:rPr>
                      </w:pPr>
                      <w:r>
                        <w:rPr>
                          <w:rFonts w:ascii="Arial" w:eastAsia="+mn-ea" w:hAnsi="Arial" w:cs="Arial"/>
                          <w:b/>
                          <w:bCs/>
                          <w:sz w:val="14"/>
                          <w:szCs w:val="14"/>
                        </w:rPr>
                        <w:t>Total Referrals</w:t>
                      </w:r>
                    </w:p>
                    <w:p w14:paraId="33ACF2BE" w14:textId="77777777" w:rsidR="009433D1" w:rsidRDefault="009433D1" w:rsidP="009433D1">
                      <w:pPr>
                        <w:spacing w:after="0" w:line="240" w:lineRule="auto"/>
                        <w:jc w:val="center"/>
                      </w:pPr>
                      <w:r>
                        <w:rPr>
                          <w:rFonts w:ascii="Arial" w:eastAsia="+mn-ea" w:hAnsi="Arial" w:cs="Arial"/>
                          <w:b/>
                          <w:bCs/>
                          <w:sz w:val="14"/>
                          <w:szCs w:val="14"/>
                        </w:rPr>
                        <w:t>696</w:t>
                      </w:r>
                    </w:p>
                  </w:txbxContent>
                </v:textbox>
              </v:shape>
            </w:pict>
          </mc:Fallback>
        </mc:AlternateContent>
      </w:r>
      <w:r>
        <w:rPr>
          <w:noProof/>
        </w:rPr>
        <w:drawing>
          <wp:inline distT="0" distB="0" distL="0" distR="0" wp14:anchorId="18880906" wp14:editId="35CEDB49">
            <wp:extent cx="5943600" cy="3538184"/>
            <wp:effectExtent l="0" t="0" r="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E1F1AE" w14:textId="77777777" w:rsidR="009433D1" w:rsidRDefault="009433D1" w:rsidP="009433D1">
      <w:pPr>
        <w:spacing w:after="0" w:line="240" w:lineRule="auto"/>
        <w:rPr>
          <w:b/>
          <w:bCs/>
        </w:rPr>
      </w:pPr>
    </w:p>
    <w:p w14:paraId="20016D04" w14:textId="77777777" w:rsidR="009433D1" w:rsidRDefault="009433D1" w:rsidP="009433D1">
      <w:pPr>
        <w:spacing w:after="0" w:line="240" w:lineRule="auto"/>
        <w:rPr>
          <w:b/>
          <w:bCs/>
        </w:rPr>
      </w:pPr>
      <w:r>
        <w:rPr>
          <w:b/>
          <w:bCs/>
        </w:rPr>
        <w:t>This chart showcases total referrals (Comprehensive, DK &amp; Gifted) for each LC.</w:t>
      </w:r>
    </w:p>
    <w:p w14:paraId="71BFECE5" w14:textId="77777777" w:rsidR="009433D1" w:rsidRDefault="009433D1" w:rsidP="009433D1">
      <w:pPr>
        <w:spacing w:after="0" w:line="240" w:lineRule="auto"/>
        <w:rPr>
          <w:b/>
          <w:bCs/>
        </w:rPr>
      </w:pPr>
    </w:p>
    <w:p w14:paraId="6AF0011A" w14:textId="77777777" w:rsidR="009433D1" w:rsidRDefault="009433D1" w:rsidP="009433D1">
      <w:pPr>
        <w:spacing w:after="0" w:line="240" w:lineRule="auto"/>
        <w:rPr>
          <w:b/>
          <w:bCs/>
        </w:rPr>
      </w:pPr>
      <w:r>
        <w:rPr>
          <w:b/>
          <w:bCs/>
        </w:rPr>
        <w:t>The chart below showcases the breakdown of the waitlist per LC for Comprehensive, DK and Gifted.</w:t>
      </w:r>
    </w:p>
    <w:p w14:paraId="146742A7" w14:textId="77777777" w:rsidR="009433D1" w:rsidRDefault="009433D1" w:rsidP="009433D1">
      <w:pPr>
        <w:spacing w:after="0" w:line="240" w:lineRule="auto"/>
        <w:rPr>
          <w:b/>
          <w:bCs/>
        </w:rPr>
      </w:pPr>
      <w:r>
        <w:rPr>
          <w:b/>
          <w:bCs/>
          <w:noProof/>
        </w:rPr>
        <w:lastRenderedPageBreak/>
        <w:drawing>
          <wp:inline distT="0" distB="0" distL="0" distR="0" wp14:anchorId="5BBF4A85" wp14:editId="549AC9B3">
            <wp:extent cx="2568539" cy="320040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b/>
          <w:bCs/>
          <w:noProof/>
        </w:rPr>
        <w:drawing>
          <wp:inline distT="0" distB="0" distL="0" distR="0" wp14:anchorId="5138BBC2" wp14:editId="0887D241">
            <wp:extent cx="2568539" cy="320040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bCs/>
          <w:noProof/>
        </w:rPr>
        <w:drawing>
          <wp:inline distT="0" distB="0" distL="0" distR="0" wp14:anchorId="5D99B3BF" wp14:editId="6C917FB3">
            <wp:extent cx="2568539" cy="3200400"/>
            <wp:effectExtent l="0" t="0" r="381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
          <w:bCs/>
          <w:noProof/>
        </w:rPr>
        <w:drawing>
          <wp:inline distT="0" distB="0" distL="0" distR="0" wp14:anchorId="24DCE3A6" wp14:editId="49162741">
            <wp:extent cx="2568539" cy="3200400"/>
            <wp:effectExtent l="0" t="0" r="381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4AC0D" w14:textId="77777777" w:rsidR="009433D1" w:rsidRDefault="009433D1" w:rsidP="009433D1">
      <w:pPr>
        <w:spacing w:after="0" w:line="240" w:lineRule="auto"/>
        <w:rPr>
          <w:b/>
          <w:bCs/>
        </w:rPr>
      </w:pPr>
      <w:r>
        <w:rPr>
          <w:b/>
          <w:bCs/>
        </w:rPr>
        <w:t xml:space="preserve">  </w:t>
      </w:r>
    </w:p>
    <w:p w14:paraId="0EF94F15" w14:textId="77777777" w:rsidR="009433D1" w:rsidRDefault="009433D1" w:rsidP="009433D1">
      <w:pPr>
        <w:spacing w:after="0" w:line="240" w:lineRule="auto"/>
        <w:rPr>
          <w:b/>
          <w:bCs/>
        </w:rPr>
      </w:pPr>
      <w:r>
        <w:rPr>
          <w:b/>
          <w:bCs/>
        </w:rPr>
        <w:t>**The waitlists do vary, and part of this variance includes the following (2021 numbers)</w:t>
      </w:r>
    </w:p>
    <w:p w14:paraId="0D5BA2BD" w14:textId="77777777" w:rsidR="009433D1" w:rsidRDefault="009433D1" w:rsidP="009433D1">
      <w:pPr>
        <w:spacing w:after="0" w:line="240" w:lineRule="auto"/>
        <w:rPr>
          <w:b/>
          <w:bCs/>
        </w:rPr>
      </w:pPr>
    </w:p>
    <w:tbl>
      <w:tblPr>
        <w:tblStyle w:val="TableGrid"/>
        <w:tblW w:w="0" w:type="auto"/>
        <w:tblLook w:val="04A0" w:firstRow="1" w:lastRow="0" w:firstColumn="1" w:lastColumn="0" w:noHBand="0" w:noVBand="1"/>
      </w:tblPr>
      <w:tblGrid>
        <w:gridCol w:w="2014"/>
        <w:gridCol w:w="2006"/>
        <w:gridCol w:w="2079"/>
        <w:gridCol w:w="1746"/>
        <w:gridCol w:w="1505"/>
      </w:tblGrid>
      <w:tr w:rsidR="009433D1" w14:paraId="1FACFF7A" w14:textId="77777777" w:rsidTr="000061E7">
        <w:tc>
          <w:tcPr>
            <w:tcW w:w="2014" w:type="dxa"/>
          </w:tcPr>
          <w:p w14:paraId="0F7ED26D" w14:textId="77777777" w:rsidR="009433D1" w:rsidRDefault="009433D1" w:rsidP="000061E7">
            <w:pPr>
              <w:jc w:val="center"/>
              <w:rPr>
                <w:b/>
                <w:bCs/>
              </w:rPr>
            </w:pPr>
            <w:r>
              <w:rPr>
                <w:b/>
                <w:bCs/>
              </w:rPr>
              <w:t>Learning Centre</w:t>
            </w:r>
          </w:p>
        </w:tc>
        <w:tc>
          <w:tcPr>
            <w:tcW w:w="2006" w:type="dxa"/>
          </w:tcPr>
          <w:p w14:paraId="0F5B680E" w14:textId="77777777" w:rsidR="009433D1" w:rsidRDefault="009433D1" w:rsidP="000061E7">
            <w:pPr>
              <w:jc w:val="center"/>
              <w:rPr>
                <w:b/>
                <w:bCs/>
              </w:rPr>
            </w:pPr>
            <w:r>
              <w:rPr>
                <w:b/>
                <w:bCs/>
              </w:rPr>
              <w:t>Number of Schools</w:t>
            </w:r>
          </w:p>
        </w:tc>
        <w:tc>
          <w:tcPr>
            <w:tcW w:w="2079" w:type="dxa"/>
          </w:tcPr>
          <w:p w14:paraId="40B3AD5D" w14:textId="77777777" w:rsidR="009433D1" w:rsidRDefault="009433D1" w:rsidP="000061E7">
            <w:pPr>
              <w:jc w:val="center"/>
              <w:rPr>
                <w:b/>
                <w:bCs/>
              </w:rPr>
            </w:pPr>
            <w:r>
              <w:rPr>
                <w:b/>
                <w:bCs/>
              </w:rPr>
              <w:t>*Elementary Student Population</w:t>
            </w:r>
          </w:p>
        </w:tc>
        <w:tc>
          <w:tcPr>
            <w:tcW w:w="1746" w:type="dxa"/>
          </w:tcPr>
          <w:p w14:paraId="480E9F2D" w14:textId="77777777" w:rsidR="009433D1" w:rsidRDefault="009433D1" w:rsidP="000061E7">
            <w:pPr>
              <w:jc w:val="center"/>
              <w:rPr>
                <w:b/>
                <w:bCs/>
              </w:rPr>
            </w:pPr>
            <w:r>
              <w:rPr>
                <w:b/>
                <w:bCs/>
              </w:rPr>
              <w:t>*Secondary Student Population</w:t>
            </w:r>
          </w:p>
        </w:tc>
        <w:tc>
          <w:tcPr>
            <w:tcW w:w="1505" w:type="dxa"/>
          </w:tcPr>
          <w:p w14:paraId="73FD6BBE" w14:textId="77777777" w:rsidR="009433D1" w:rsidRDefault="009433D1" w:rsidP="000061E7">
            <w:pPr>
              <w:jc w:val="center"/>
              <w:rPr>
                <w:b/>
                <w:bCs/>
              </w:rPr>
            </w:pPr>
            <w:r>
              <w:rPr>
                <w:b/>
                <w:bCs/>
              </w:rPr>
              <w:t>*TOTAL</w:t>
            </w:r>
          </w:p>
          <w:p w14:paraId="5C1B5587" w14:textId="77777777" w:rsidR="009433D1" w:rsidRDefault="009433D1" w:rsidP="000061E7">
            <w:pPr>
              <w:jc w:val="center"/>
              <w:rPr>
                <w:b/>
                <w:bCs/>
              </w:rPr>
            </w:pPr>
            <w:r>
              <w:rPr>
                <w:b/>
                <w:bCs/>
              </w:rPr>
              <w:t>Student Population</w:t>
            </w:r>
          </w:p>
        </w:tc>
      </w:tr>
      <w:tr w:rsidR="009433D1" w14:paraId="2C4B9EF5" w14:textId="77777777" w:rsidTr="000061E7">
        <w:tc>
          <w:tcPr>
            <w:tcW w:w="2014" w:type="dxa"/>
          </w:tcPr>
          <w:p w14:paraId="4AD1A038" w14:textId="77777777" w:rsidR="009433D1" w:rsidRPr="00430E04" w:rsidRDefault="009433D1" w:rsidP="000061E7">
            <w:pPr>
              <w:jc w:val="center"/>
            </w:pPr>
            <w:r w:rsidRPr="00430E04">
              <w:t>1</w:t>
            </w:r>
          </w:p>
        </w:tc>
        <w:tc>
          <w:tcPr>
            <w:tcW w:w="2006" w:type="dxa"/>
          </w:tcPr>
          <w:p w14:paraId="66FC6752" w14:textId="77777777" w:rsidR="009433D1" w:rsidRPr="00430E04" w:rsidRDefault="009433D1" w:rsidP="000061E7">
            <w:pPr>
              <w:jc w:val="center"/>
            </w:pPr>
            <w:r w:rsidRPr="00430E04">
              <w:t>134</w:t>
            </w:r>
          </w:p>
        </w:tc>
        <w:tc>
          <w:tcPr>
            <w:tcW w:w="2079" w:type="dxa"/>
          </w:tcPr>
          <w:p w14:paraId="7C14B2F7" w14:textId="77777777" w:rsidR="009433D1" w:rsidRPr="00430E04" w:rsidRDefault="009433D1" w:rsidP="000061E7">
            <w:pPr>
              <w:jc w:val="center"/>
            </w:pPr>
            <w:r w:rsidRPr="00430E04">
              <w:t>42, 430</w:t>
            </w:r>
          </w:p>
        </w:tc>
        <w:tc>
          <w:tcPr>
            <w:tcW w:w="1746" w:type="dxa"/>
          </w:tcPr>
          <w:p w14:paraId="4122A970" w14:textId="77777777" w:rsidR="009433D1" w:rsidRPr="00430E04" w:rsidRDefault="009433D1" w:rsidP="000061E7">
            <w:pPr>
              <w:jc w:val="center"/>
            </w:pPr>
            <w:r w:rsidRPr="00430E04">
              <w:t>20, 258</w:t>
            </w:r>
          </w:p>
        </w:tc>
        <w:tc>
          <w:tcPr>
            <w:tcW w:w="1505" w:type="dxa"/>
          </w:tcPr>
          <w:p w14:paraId="69CB0354" w14:textId="77777777" w:rsidR="009433D1" w:rsidRPr="00430E04" w:rsidRDefault="009433D1" w:rsidP="000061E7">
            <w:pPr>
              <w:jc w:val="center"/>
            </w:pPr>
            <w:r w:rsidRPr="00430E04">
              <w:t>62, 688</w:t>
            </w:r>
          </w:p>
        </w:tc>
      </w:tr>
      <w:tr w:rsidR="009433D1" w14:paraId="25FCA0DD" w14:textId="77777777" w:rsidTr="000061E7">
        <w:tc>
          <w:tcPr>
            <w:tcW w:w="2014" w:type="dxa"/>
          </w:tcPr>
          <w:p w14:paraId="6C1DF6FE" w14:textId="77777777" w:rsidR="009433D1" w:rsidRPr="00430E04" w:rsidRDefault="009433D1" w:rsidP="000061E7">
            <w:pPr>
              <w:jc w:val="center"/>
            </w:pPr>
            <w:r w:rsidRPr="00430E04">
              <w:t>2</w:t>
            </w:r>
          </w:p>
        </w:tc>
        <w:tc>
          <w:tcPr>
            <w:tcW w:w="2006" w:type="dxa"/>
          </w:tcPr>
          <w:p w14:paraId="54994DE2" w14:textId="77777777" w:rsidR="009433D1" w:rsidRPr="00430E04" w:rsidRDefault="009433D1" w:rsidP="000061E7">
            <w:pPr>
              <w:jc w:val="center"/>
            </w:pPr>
            <w:r w:rsidRPr="00430E04">
              <w:t>136</w:t>
            </w:r>
          </w:p>
        </w:tc>
        <w:tc>
          <w:tcPr>
            <w:tcW w:w="2079" w:type="dxa"/>
          </w:tcPr>
          <w:p w14:paraId="184DA840" w14:textId="77777777" w:rsidR="009433D1" w:rsidRPr="00430E04" w:rsidRDefault="009433D1" w:rsidP="000061E7">
            <w:pPr>
              <w:jc w:val="center"/>
            </w:pPr>
            <w:r w:rsidRPr="00430E04">
              <w:t>41, 428</w:t>
            </w:r>
          </w:p>
        </w:tc>
        <w:tc>
          <w:tcPr>
            <w:tcW w:w="1746" w:type="dxa"/>
          </w:tcPr>
          <w:p w14:paraId="763C6E39" w14:textId="77777777" w:rsidR="009433D1" w:rsidRPr="00430E04" w:rsidRDefault="009433D1" w:rsidP="000061E7">
            <w:pPr>
              <w:jc w:val="center"/>
            </w:pPr>
            <w:r w:rsidRPr="00430E04">
              <w:t>16, 877</w:t>
            </w:r>
          </w:p>
        </w:tc>
        <w:tc>
          <w:tcPr>
            <w:tcW w:w="1505" w:type="dxa"/>
          </w:tcPr>
          <w:p w14:paraId="075D6BC9" w14:textId="77777777" w:rsidR="009433D1" w:rsidRPr="00430E04" w:rsidRDefault="009433D1" w:rsidP="000061E7">
            <w:pPr>
              <w:jc w:val="center"/>
            </w:pPr>
            <w:r w:rsidRPr="00430E04">
              <w:t>58, 305</w:t>
            </w:r>
          </w:p>
        </w:tc>
      </w:tr>
      <w:tr w:rsidR="009433D1" w14:paraId="3D40BF24" w14:textId="77777777" w:rsidTr="000061E7">
        <w:tc>
          <w:tcPr>
            <w:tcW w:w="2014" w:type="dxa"/>
          </w:tcPr>
          <w:p w14:paraId="67B40384" w14:textId="77777777" w:rsidR="009433D1" w:rsidRPr="00430E04" w:rsidRDefault="009433D1" w:rsidP="000061E7">
            <w:pPr>
              <w:jc w:val="center"/>
            </w:pPr>
            <w:r w:rsidRPr="00430E04">
              <w:t>3</w:t>
            </w:r>
          </w:p>
        </w:tc>
        <w:tc>
          <w:tcPr>
            <w:tcW w:w="2006" w:type="dxa"/>
          </w:tcPr>
          <w:p w14:paraId="7FF7D8DC" w14:textId="77777777" w:rsidR="009433D1" w:rsidRPr="00430E04" w:rsidRDefault="009433D1" w:rsidP="000061E7">
            <w:pPr>
              <w:jc w:val="center"/>
            </w:pPr>
            <w:r w:rsidRPr="00430E04">
              <w:t>133</w:t>
            </w:r>
          </w:p>
        </w:tc>
        <w:tc>
          <w:tcPr>
            <w:tcW w:w="2079" w:type="dxa"/>
          </w:tcPr>
          <w:p w14:paraId="62475E11" w14:textId="77777777" w:rsidR="009433D1" w:rsidRPr="00430E04" w:rsidRDefault="009433D1" w:rsidP="000061E7">
            <w:pPr>
              <w:jc w:val="center"/>
            </w:pPr>
            <w:r w:rsidRPr="00430E04">
              <w:t>40, 878</w:t>
            </w:r>
          </w:p>
        </w:tc>
        <w:tc>
          <w:tcPr>
            <w:tcW w:w="1746" w:type="dxa"/>
          </w:tcPr>
          <w:p w14:paraId="66F08C9D" w14:textId="77777777" w:rsidR="009433D1" w:rsidRPr="00430E04" w:rsidRDefault="009433D1" w:rsidP="000061E7">
            <w:pPr>
              <w:jc w:val="center"/>
            </w:pPr>
            <w:r w:rsidRPr="00430E04">
              <w:t>15, 589</w:t>
            </w:r>
          </w:p>
        </w:tc>
        <w:tc>
          <w:tcPr>
            <w:tcW w:w="1505" w:type="dxa"/>
          </w:tcPr>
          <w:p w14:paraId="354F4617" w14:textId="77777777" w:rsidR="009433D1" w:rsidRPr="00430E04" w:rsidRDefault="009433D1" w:rsidP="000061E7">
            <w:pPr>
              <w:jc w:val="center"/>
            </w:pPr>
            <w:r w:rsidRPr="00430E04">
              <w:t>56, 467</w:t>
            </w:r>
          </w:p>
        </w:tc>
      </w:tr>
      <w:tr w:rsidR="009433D1" w14:paraId="110DB19A" w14:textId="77777777" w:rsidTr="000061E7">
        <w:tc>
          <w:tcPr>
            <w:tcW w:w="2014" w:type="dxa"/>
          </w:tcPr>
          <w:p w14:paraId="77F1994C" w14:textId="77777777" w:rsidR="009433D1" w:rsidRPr="00430E04" w:rsidRDefault="009433D1" w:rsidP="000061E7">
            <w:pPr>
              <w:jc w:val="center"/>
            </w:pPr>
            <w:r w:rsidRPr="00430E04">
              <w:t>4</w:t>
            </w:r>
          </w:p>
        </w:tc>
        <w:tc>
          <w:tcPr>
            <w:tcW w:w="2006" w:type="dxa"/>
          </w:tcPr>
          <w:p w14:paraId="0A92F4EB" w14:textId="77777777" w:rsidR="009433D1" w:rsidRPr="00430E04" w:rsidRDefault="009433D1" w:rsidP="000061E7">
            <w:pPr>
              <w:jc w:val="center"/>
            </w:pPr>
            <w:r w:rsidRPr="00430E04">
              <w:t>157</w:t>
            </w:r>
          </w:p>
        </w:tc>
        <w:tc>
          <w:tcPr>
            <w:tcW w:w="2079" w:type="dxa"/>
          </w:tcPr>
          <w:p w14:paraId="42CA9C09" w14:textId="77777777" w:rsidR="009433D1" w:rsidRPr="00430E04" w:rsidRDefault="009433D1" w:rsidP="000061E7">
            <w:pPr>
              <w:jc w:val="center"/>
            </w:pPr>
            <w:r w:rsidRPr="00430E04">
              <w:t>49, 445</w:t>
            </w:r>
          </w:p>
        </w:tc>
        <w:tc>
          <w:tcPr>
            <w:tcW w:w="1746" w:type="dxa"/>
          </w:tcPr>
          <w:p w14:paraId="71D0D5BD" w14:textId="77777777" w:rsidR="009433D1" w:rsidRPr="00430E04" w:rsidRDefault="009433D1" w:rsidP="000061E7">
            <w:pPr>
              <w:jc w:val="center"/>
            </w:pPr>
            <w:r w:rsidRPr="00430E04">
              <w:t>17, 837</w:t>
            </w:r>
          </w:p>
        </w:tc>
        <w:tc>
          <w:tcPr>
            <w:tcW w:w="1505" w:type="dxa"/>
          </w:tcPr>
          <w:p w14:paraId="73A4B702" w14:textId="77777777" w:rsidR="009433D1" w:rsidRPr="00430E04" w:rsidRDefault="009433D1" w:rsidP="000061E7">
            <w:pPr>
              <w:jc w:val="center"/>
            </w:pPr>
            <w:r w:rsidRPr="00430E04">
              <w:t>67, 277</w:t>
            </w:r>
          </w:p>
        </w:tc>
      </w:tr>
    </w:tbl>
    <w:p w14:paraId="55632DBF" w14:textId="77777777" w:rsidR="009433D1" w:rsidRDefault="009433D1" w:rsidP="009433D1">
      <w:pPr>
        <w:spacing w:after="0" w:line="240" w:lineRule="auto"/>
        <w:rPr>
          <w:b/>
          <w:bCs/>
        </w:rPr>
      </w:pPr>
      <w:r>
        <w:rPr>
          <w:b/>
          <w:bCs/>
        </w:rPr>
        <w:lastRenderedPageBreak/>
        <w:t>Higher referral numbers in LC4 are attributed to:</w:t>
      </w:r>
    </w:p>
    <w:p w14:paraId="58DED931" w14:textId="77777777" w:rsidR="009433D1" w:rsidRPr="00230D00" w:rsidRDefault="009433D1" w:rsidP="009433D1">
      <w:pPr>
        <w:pStyle w:val="ListParagraph"/>
        <w:numPr>
          <w:ilvl w:val="0"/>
          <w:numId w:val="4"/>
        </w:numPr>
        <w:spacing w:after="0" w:line="240" w:lineRule="auto"/>
      </w:pPr>
      <w:r w:rsidRPr="00230D00">
        <w:t xml:space="preserve">LC4 has 20 plus schools more than the other LC’s </w:t>
      </w:r>
    </w:p>
    <w:p w14:paraId="783F20B6" w14:textId="77777777" w:rsidR="009433D1" w:rsidRPr="008D7880" w:rsidRDefault="009433D1" w:rsidP="009433D1">
      <w:pPr>
        <w:pStyle w:val="ListParagraph"/>
        <w:numPr>
          <w:ilvl w:val="0"/>
          <w:numId w:val="4"/>
        </w:numPr>
        <w:spacing w:after="0" w:line="240" w:lineRule="auto"/>
      </w:pPr>
      <w:r w:rsidRPr="00230D00">
        <w:t xml:space="preserve">LC4 has 5000-10,000 more students than the other LC’s </w:t>
      </w:r>
    </w:p>
    <w:p w14:paraId="28D6E63F" w14:textId="77777777" w:rsidR="009433D1" w:rsidRDefault="009433D1" w:rsidP="009433D1">
      <w:pPr>
        <w:spacing w:after="0" w:line="240" w:lineRule="auto"/>
        <w:rPr>
          <w:b/>
          <w:bCs/>
        </w:rPr>
      </w:pPr>
    </w:p>
    <w:p w14:paraId="574BC9BD" w14:textId="77777777" w:rsidR="009433D1" w:rsidRDefault="009433D1" w:rsidP="009433D1">
      <w:pPr>
        <w:spacing w:after="0" w:line="240" w:lineRule="auto"/>
        <w:rPr>
          <w:b/>
          <w:bCs/>
        </w:rPr>
      </w:pPr>
    </w:p>
    <w:tbl>
      <w:tblPr>
        <w:tblStyle w:val="TableGrid"/>
        <w:tblW w:w="9438" w:type="dxa"/>
        <w:tblLook w:val="04A0" w:firstRow="1" w:lastRow="0" w:firstColumn="1" w:lastColumn="0" w:noHBand="0" w:noVBand="1"/>
      </w:tblPr>
      <w:tblGrid>
        <w:gridCol w:w="1641"/>
        <w:gridCol w:w="1500"/>
        <w:gridCol w:w="1428"/>
        <w:gridCol w:w="1823"/>
        <w:gridCol w:w="1527"/>
        <w:gridCol w:w="1519"/>
      </w:tblGrid>
      <w:tr w:rsidR="009433D1" w14:paraId="29B179D6" w14:textId="77777777" w:rsidTr="000061E7">
        <w:trPr>
          <w:trHeight w:val="838"/>
        </w:trPr>
        <w:tc>
          <w:tcPr>
            <w:tcW w:w="1641" w:type="dxa"/>
            <w:shd w:val="clear" w:color="auto" w:fill="E7E6E6" w:themeFill="background2"/>
          </w:tcPr>
          <w:p w14:paraId="1187431C" w14:textId="77777777" w:rsidR="009433D1" w:rsidRDefault="009433D1" w:rsidP="000061E7">
            <w:pPr>
              <w:jc w:val="center"/>
              <w:rPr>
                <w:b/>
                <w:bCs/>
              </w:rPr>
            </w:pPr>
            <w:r>
              <w:rPr>
                <w:b/>
                <w:bCs/>
              </w:rPr>
              <w:t xml:space="preserve">Comprehensive Assessments </w:t>
            </w:r>
          </w:p>
          <w:p w14:paraId="0D264EC9" w14:textId="77777777" w:rsidR="009433D1" w:rsidRDefault="009433D1" w:rsidP="000061E7">
            <w:pPr>
              <w:jc w:val="center"/>
              <w:rPr>
                <w:b/>
                <w:bCs/>
              </w:rPr>
            </w:pPr>
            <w:r>
              <w:rPr>
                <w:b/>
                <w:bCs/>
              </w:rPr>
              <w:t xml:space="preserve">Aged Waitlist </w:t>
            </w:r>
          </w:p>
        </w:tc>
        <w:tc>
          <w:tcPr>
            <w:tcW w:w="1500" w:type="dxa"/>
            <w:shd w:val="clear" w:color="auto" w:fill="E7E6E6" w:themeFill="background2"/>
          </w:tcPr>
          <w:p w14:paraId="11A91EAF" w14:textId="77777777" w:rsidR="009433D1" w:rsidRDefault="009433D1" w:rsidP="000061E7">
            <w:pPr>
              <w:jc w:val="center"/>
              <w:rPr>
                <w:b/>
                <w:bCs/>
              </w:rPr>
            </w:pPr>
            <w:r>
              <w:rPr>
                <w:b/>
                <w:bCs/>
              </w:rPr>
              <w:t>0-3 Months</w:t>
            </w:r>
          </w:p>
        </w:tc>
        <w:tc>
          <w:tcPr>
            <w:tcW w:w="1428" w:type="dxa"/>
            <w:shd w:val="clear" w:color="auto" w:fill="E7E6E6" w:themeFill="background2"/>
          </w:tcPr>
          <w:p w14:paraId="200AD2C1" w14:textId="77777777" w:rsidR="009433D1" w:rsidRDefault="009433D1" w:rsidP="000061E7">
            <w:pPr>
              <w:jc w:val="center"/>
              <w:rPr>
                <w:b/>
                <w:bCs/>
              </w:rPr>
            </w:pPr>
            <w:r>
              <w:rPr>
                <w:b/>
                <w:bCs/>
              </w:rPr>
              <w:t>4-6 Months</w:t>
            </w:r>
          </w:p>
        </w:tc>
        <w:tc>
          <w:tcPr>
            <w:tcW w:w="1823" w:type="dxa"/>
            <w:shd w:val="clear" w:color="auto" w:fill="E7E6E6" w:themeFill="background2"/>
          </w:tcPr>
          <w:p w14:paraId="5A43EBE9" w14:textId="77777777" w:rsidR="009433D1" w:rsidRDefault="009433D1" w:rsidP="000061E7">
            <w:pPr>
              <w:jc w:val="center"/>
              <w:rPr>
                <w:b/>
                <w:bCs/>
              </w:rPr>
            </w:pPr>
            <w:r>
              <w:rPr>
                <w:b/>
                <w:bCs/>
              </w:rPr>
              <w:t>7-9 Months</w:t>
            </w:r>
          </w:p>
        </w:tc>
        <w:tc>
          <w:tcPr>
            <w:tcW w:w="1527" w:type="dxa"/>
            <w:shd w:val="clear" w:color="auto" w:fill="E7E6E6" w:themeFill="background2"/>
          </w:tcPr>
          <w:p w14:paraId="7ABE3384" w14:textId="77777777" w:rsidR="009433D1" w:rsidRDefault="009433D1" w:rsidP="000061E7">
            <w:pPr>
              <w:jc w:val="center"/>
              <w:rPr>
                <w:b/>
                <w:bCs/>
              </w:rPr>
            </w:pPr>
            <w:r>
              <w:rPr>
                <w:b/>
                <w:bCs/>
              </w:rPr>
              <w:t>10+ Months</w:t>
            </w:r>
          </w:p>
        </w:tc>
        <w:tc>
          <w:tcPr>
            <w:tcW w:w="1519" w:type="dxa"/>
            <w:shd w:val="clear" w:color="auto" w:fill="E7E6E6" w:themeFill="background2"/>
          </w:tcPr>
          <w:p w14:paraId="6DCB420A" w14:textId="77777777" w:rsidR="009433D1" w:rsidRDefault="009433D1" w:rsidP="000061E7">
            <w:pPr>
              <w:jc w:val="center"/>
              <w:rPr>
                <w:b/>
                <w:bCs/>
              </w:rPr>
            </w:pPr>
            <w:r>
              <w:rPr>
                <w:b/>
                <w:bCs/>
              </w:rPr>
              <w:t>TOTAL</w:t>
            </w:r>
          </w:p>
        </w:tc>
      </w:tr>
      <w:tr w:rsidR="009433D1" w14:paraId="362CF644" w14:textId="77777777" w:rsidTr="000061E7">
        <w:trPr>
          <w:trHeight w:val="432"/>
        </w:trPr>
        <w:tc>
          <w:tcPr>
            <w:tcW w:w="1641" w:type="dxa"/>
            <w:shd w:val="clear" w:color="auto" w:fill="auto"/>
          </w:tcPr>
          <w:p w14:paraId="189BD87E" w14:textId="77777777" w:rsidR="009433D1" w:rsidRDefault="009433D1" w:rsidP="000061E7">
            <w:pPr>
              <w:jc w:val="center"/>
              <w:rPr>
                <w:b/>
                <w:bCs/>
              </w:rPr>
            </w:pPr>
            <w:r>
              <w:rPr>
                <w:b/>
                <w:bCs/>
              </w:rPr>
              <w:t>December 2022</w:t>
            </w:r>
          </w:p>
        </w:tc>
        <w:tc>
          <w:tcPr>
            <w:tcW w:w="1500" w:type="dxa"/>
            <w:shd w:val="clear" w:color="auto" w:fill="auto"/>
          </w:tcPr>
          <w:p w14:paraId="2DCD13C5" w14:textId="77777777" w:rsidR="009433D1" w:rsidRDefault="009433D1" w:rsidP="000061E7">
            <w:pPr>
              <w:jc w:val="center"/>
              <w:rPr>
                <w:b/>
                <w:bCs/>
              </w:rPr>
            </w:pPr>
            <w:r>
              <w:rPr>
                <w:b/>
                <w:bCs/>
              </w:rPr>
              <w:t>639</w:t>
            </w:r>
          </w:p>
        </w:tc>
        <w:tc>
          <w:tcPr>
            <w:tcW w:w="1428" w:type="dxa"/>
            <w:shd w:val="clear" w:color="auto" w:fill="auto"/>
          </w:tcPr>
          <w:p w14:paraId="2F7C36AC" w14:textId="77777777" w:rsidR="009433D1" w:rsidRDefault="009433D1" w:rsidP="000061E7">
            <w:pPr>
              <w:jc w:val="center"/>
              <w:rPr>
                <w:b/>
                <w:bCs/>
              </w:rPr>
            </w:pPr>
            <w:r>
              <w:rPr>
                <w:b/>
                <w:bCs/>
              </w:rPr>
              <w:t>55</w:t>
            </w:r>
          </w:p>
        </w:tc>
        <w:tc>
          <w:tcPr>
            <w:tcW w:w="1823" w:type="dxa"/>
            <w:shd w:val="clear" w:color="auto" w:fill="auto"/>
          </w:tcPr>
          <w:p w14:paraId="4B4A309C" w14:textId="77777777" w:rsidR="009433D1" w:rsidRDefault="009433D1" w:rsidP="000061E7">
            <w:pPr>
              <w:jc w:val="center"/>
              <w:rPr>
                <w:b/>
                <w:bCs/>
              </w:rPr>
            </w:pPr>
            <w:r>
              <w:rPr>
                <w:b/>
                <w:bCs/>
              </w:rPr>
              <w:t>125</w:t>
            </w:r>
          </w:p>
        </w:tc>
        <w:tc>
          <w:tcPr>
            <w:tcW w:w="1527" w:type="dxa"/>
            <w:shd w:val="clear" w:color="auto" w:fill="auto"/>
          </w:tcPr>
          <w:p w14:paraId="7837BF7D" w14:textId="77777777" w:rsidR="009433D1" w:rsidRDefault="009433D1" w:rsidP="000061E7">
            <w:pPr>
              <w:jc w:val="center"/>
              <w:rPr>
                <w:b/>
                <w:bCs/>
              </w:rPr>
            </w:pPr>
            <w:r>
              <w:rPr>
                <w:b/>
                <w:bCs/>
              </w:rPr>
              <w:t>85</w:t>
            </w:r>
          </w:p>
        </w:tc>
        <w:tc>
          <w:tcPr>
            <w:tcW w:w="1519" w:type="dxa"/>
            <w:shd w:val="clear" w:color="auto" w:fill="auto"/>
          </w:tcPr>
          <w:p w14:paraId="0DBA110E" w14:textId="77777777" w:rsidR="009433D1" w:rsidRDefault="009433D1" w:rsidP="000061E7">
            <w:pPr>
              <w:jc w:val="center"/>
              <w:rPr>
                <w:b/>
                <w:bCs/>
              </w:rPr>
            </w:pPr>
            <w:r>
              <w:rPr>
                <w:b/>
                <w:bCs/>
              </w:rPr>
              <w:t>904</w:t>
            </w:r>
          </w:p>
        </w:tc>
      </w:tr>
    </w:tbl>
    <w:p w14:paraId="75F060AC" w14:textId="77777777" w:rsidR="009433D1" w:rsidRDefault="009433D1" w:rsidP="009433D1">
      <w:pPr>
        <w:spacing w:after="0" w:line="240" w:lineRule="auto"/>
        <w:rPr>
          <w:b/>
          <w:bCs/>
        </w:rPr>
      </w:pPr>
    </w:p>
    <w:p w14:paraId="21B99BC0" w14:textId="77777777" w:rsidR="009433D1" w:rsidRDefault="009433D1" w:rsidP="009433D1">
      <w:pPr>
        <w:spacing w:after="0" w:line="240" w:lineRule="auto"/>
        <w:rPr>
          <w:b/>
          <w:bCs/>
        </w:rPr>
      </w:pPr>
    </w:p>
    <w:p w14:paraId="6898D290" w14:textId="77777777" w:rsidR="009433D1" w:rsidRDefault="009433D1" w:rsidP="009433D1">
      <w:pPr>
        <w:spacing w:after="0" w:line="240" w:lineRule="auto"/>
        <w:rPr>
          <w:b/>
          <w:bCs/>
        </w:rPr>
      </w:pPr>
      <w:r>
        <w:rPr>
          <w:b/>
          <w:bCs/>
          <w:noProof/>
        </w:rPr>
        <w:drawing>
          <wp:inline distT="0" distB="0" distL="0" distR="0" wp14:anchorId="71ECBB2E" wp14:editId="21D5DA5C">
            <wp:extent cx="6037243" cy="3822700"/>
            <wp:effectExtent l="0" t="0" r="190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D2D8E5" w14:textId="77777777" w:rsidR="009433D1" w:rsidRDefault="009433D1" w:rsidP="009433D1">
      <w:pPr>
        <w:spacing w:after="0" w:line="240" w:lineRule="auto"/>
      </w:pPr>
    </w:p>
    <w:p w14:paraId="38D7A953" w14:textId="77777777" w:rsidR="009433D1" w:rsidRPr="00946738" w:rsidRDefault="009433D1" w:rsidP="009433D1">
      <w:pPr>
        <w:spacing w:after="0" w:line="240" w:lineRule="auto"/>
        <w:rPr>
          <w:b/>
          <w:bCs/>
          <w:u w:val="single"/>
        </w:rPr>
      </w:pPr>
      <w:r w:rsidRPr="00946738">
        <w:t xml:space="preserve">Psychological staff </w:t>
      </w:r>
      <w:r>
        <w:t>are continuing to put effort in to</w:t>
      </w:r>
      <w:r w:rsidRPr="00946738">
        <w:t xml:space="preserve"> comprehensive assessments</w:t>
      </w:r>
      <w:r>
        <w:t>,</w:t>
      </w:r>
      <w:r w:rsidRPr="00946738">
        <w:t xml:space="preserve"> </w:t>
      </w:r>
      <w:r>
        <w:t>that are 6 plus months plus.</w:t>
      </w:r>
    </w:p>
    <w:p w14:paraId="4487B0B7" w14:textId="77777777" w:rsidR="009433D1" w:rsidRDefault="009433D1" w:rsidP="009433D1">
      <w:pPr>
        <w:spacing w:after="0" w:line="240" w:lineRule="auto"/>
      </w:pPr>
      <w:r>
        <w:t>*DK referrals were received in late October 2022 and have 212 total</w:t>
      </w:r>
      <w:r w:rsidRPr="005C6337">
        <w:rPr>
          <w:b/>
          <w:bCs/>
        </w:rPr>
        <w:t xml:space="preserve"> DK referrals</w:t>
      </w:r>
      <w:r>
        <w:rPr>
          <w:b/>
          <w:bCs/>
        </w:rPr>
        <w:t xml:space="preserve"> as of December 2022</w:t>
      </w:r>
      <w:r>
        <w:t>.</w:t>
      </w:r>
    </w:p>
    <w:p w14:paraId="249334F9" w14:textId="77777777" w:rsidR="009433D1" w:rsidRDefault="009433D1" w:rsidP="009433D1">
      <w:pPr>
        <w:spacing w:after="0" w:line="240" w:lineRule="auto"/>
      </w:pPr>
    </w:p>
    <w:p w14:paraId="3E63FBCA" w14:textId="77777777" w:rsidR="009433D1" w:rsidRDefault="009433D1" w:rsidP="009433D1">
      <w:pPr>
        <w:spacing w:after="0" w:line="240" w:lineRule="auto"/>
      </w:pPr>
      <w:r>
        <w:t>Below are some rationales why 6-month comprehensive referrals remain on the waitlist:</w:t>
      </w:r>
    </w:p>
    <w:p w14:paraId="1CBF4B3A" w14:textId="77777777" w:rsidR="009433D1" w:rsidRDefault="009433D1" w:rsidP="009433D1">
      <w:pPr>
        <w:spacing w:after="0" w:line="240" w:lineRule="auto"/>
      </w:pPr>
    </w:p>
    <w:p w14:paraId="71B5B78D" w14:textId="77777777" w:rsidR="009433D1" w:rsidRDefault="009433D1" w:rsidP="009433D1">
      <w:pPr>
        <w:pStyle w:val="ListParagraph"/>
        <w:numPr>
          <w:ilvl w:val="0"/>
          <w:numId w:val="5"/>
        </w:numPr>
        <w:spacing w:after="0" w:line="240" w:lineRule="auto"/>
      </w:pPr>
      <w:r>
        <w:t>Parent/Guardian want to continue with the assessments and the students are in virtual school where only a portion of psychoeducational assessments can be completed virtually.  These students and parents/guardians a being offered local school spaces and administrative buildings to support the completion of in person testing but have declined.</w:t>
      </w:r>
    </w:p>
    <w:p w14:paraId="634F8100" w14:textId="77777777" w:rsidR="009433D1" w:rsidRDefault="009433D1" w:rsidP="009433D1">
      <w:pPr>
        <w:pStyle w:val="ListParagraph"/>
        <w:numPr>
          <w:ilvl w:val="0"/>
          <w:numId w:val="5"/>
        </w:numPr>
        <w:spacing w:after="0" w:line="240" w:lineRule="auto"/>
      </w:pPr>
      <w:r>
        <w:t>Students who left, in between testing, to go out of the country/city/province and want to remain on the wait list.</w:t>
      </w:r>
    </w:p>
    <w:p w14:paraId="7C14C2AD" w14:textId="77777777" w:rsidR="009433D1" w:rsidRDefault="009433D1" w:rsidP="009433D1">
      <w:pPr>
        <w:pStyle w:val="ListParagraph"/>
        <w:numPr>
          <w:ilvl w:val="0"/>
          <w:numId w:val="5"/>
        </w:numPr>
        <w:spacing w:after="0" w:line="240" w:lineRule="auto"/>
      </w:pPr>
      <w:r>
        <w:lastRenderedPageBreak/>
        <w:t>Student who enrolled into virtual school in between testing and want to remain on the waitlist.</w:t>
      </w:r>
    </w:p>
    <w:p w14:paraId="437D5358" w14:textId="77777777" w:rsidR="009433D1" w:rsidRDefault="009433D1" w:rsidP="009433D1">
      <w:pPr>
        <w:pStyle w:val="ListParagraph"/>
        <w:numPr>
          <w:ilvl w:val="0"/>
          <w:numId w:val="5"/>
        </w:numPr>
        <w:spacing w:after="0" w:line="240" w:lineRule="auto"/>
      </w:pPr>
      <w:r>
        <w:t>Student and parents/guardians who are not responding to the staff and staff are working with the school and Attendance Counselors to locate.</w:t>
      </w:r>
    </w:p>
    <w:p w14:paraId="39F33168" w14:textId="77777777" w:rsidR="009433D1" w:rsidRDefault="009433D1" w:rsidP="009433D1">
      <w:pPr>
        <w:spacing w:after="0" w:line="240" w:lineRule="auto"/>
      </w:pPr>
    </w:p>
    <w:tbl>
      <w:tblPr>
        <w:tblStyle w:val="TableGrid"/>
        <w:tblW w:w="9493" w:type="dxa"/>
        <w:tblInd w:w="-141" w:type="dxa"/>
        <w:tblLook w:val="04A0" w:firstRow="1" w:lastRow="0" w:firstColumn="1" w:lastColumn="0" w:noHBand="0" w:noVBand="1"/>
      </w:tblPr>
      <w:tblGrid>
        <w:gridCol w:w="1383"/>
        <w:gridCol w:w="1669"/>
        <w:gridCol w:w="1584"/>
        <w:gridCol w:w="2049"/>
        <w:gridCol w:w="1701"/>
        <w:gridCol w:w="1107"/>
      </w:tblGrid>
      <w:tr w:rsidR="009433D1" w14:paraId="60559D31" w14:textId="77777777" w:rsidTr="000061E7">
        <w:trPr>
          <w:trHeight w:val="1088"/>
        </w:trPr>
        <w:tc>
          <w:tcPr>
            <w:tcW w:w="1383" w:type="dxa"/>
            <w:shd w:val="clear" w:color="auto" w:fill="E7E6E6" w:themeFill="background2"/>
          </w:tcPr>
          <w:p w14:paraId="41BB45D6" w14:textId="77777777" w:rsidR="009433D1" w:rsidRDefault="009433D1" w:rsidP="000061E7">
            <w:pPr>
              <w:jc w:val="center"/>
              <w:rPr>
                <w:b/>
                <w:bCs/>
              </w:rPr>
            </w:pPr>
            <w:r>
              <w:rPr>
                <w:b/>
                <w:bCs/>
              </w:rPr>
              <w:t xml:space="preserve">Gifted Assessments </w:t>
            </w:r>
          </w:p>
          <w:p w14:paraId="48730187" w14:textId="77777777" w:rsidR="009433D1" w:rsidRDefault="009433D1" w:rsidP="000061E7">
            <w:pPr>
              <w:jc w:val="center"/>
              <w:rPr>
                <w:b/>
                <w:bCs/>
              </w:rPr>
            </w:pPr>
            <w:r>
              <w:rPr>
                <w:b/>
                <w:bCs/>
              </w:rPr>
              <w:t xml:space="preserve">Aged Waitlist </w:t>
            </w:r>
          </w:p>
        </w:tc>
        <w:tc>
          <w:tcPr>
            <w:tcW w:w="1669" w:type="dxa"/>
            <w:shd w:val="clear" w:color="auto" w:fill="E7E6E6" w:themeFill="background2"/>
          </w:tcPr>
          <w:p w14:paraId="7F0E6943" w14:textId="77777777" w:rsidR="009433D1" w:rsidRDefault="009433D1" w:rsidP="000061E7">
            <w:pPr>
              <w:jc w:val="center"/>
              <w:rPr>
                <w:b/>
                <w:bCs/>
              </w:rPr>
            </w:pPr>
            <w:r>
              <w:rPr>
                <w:b/>
                <w:bCs/>
              </w:rPr>
              <w:t>0-3 Months</w:t>
            </w:r>
          </w:p>
        </w:tc>
        <w:tc>
          <w:tcPr>
            <w:tcW w:w="1584" w:type="dxa"/>
            <w:shd w:val="clear" w:color="auto" w:fill="E7E6E6" w:themeFill="background2"/>
          </w:tcPr>
          <w:p w14:paraId="66E92BA5" w14:textId="77777777" w:rsidR="009433D1" w:rsidRDefault="009433D1" w:rsidP="000061E7">
            <w:pPr>
              <w:jc w:val="center"/>
              <w:rPr>
                <w:b/>
                <w:bCs/>
              </w:rPr>
            </w:pPr>
            <w:r>
              <w:rPr>
                <w:b/>
                <w:bCs/>
              </w:rPr>
              <w:t>4-6 Months</w:t>
            </w:r>
          </w:p>
        </w:tc>
        <w:tc>
          <w:tcPr>
            <w:tcW w:w="2049" w:type="dxa"/>
            <w:shd w:val="clear" w:color="auto" w:fill="E7E6E6" w:themeFill="background2"/>
          </w:tcPr>
          <w:p w14:paraId="1A3C3FF8" w14:textId="77777777" w:rsidR="009433D1" w:rsidRDefault="009433D1" w:rsidP="000061E7">
            <w:pPr>
              <w:jc w:val="center"/>
              <w:rPr>
                <w:b/>
                <w:bCs/>
              </w:rPr>
            </w:pPr>
            <w:r>
              <w:rPr>
                <w:b/>
                <w:bCs/>
              </w:rPr>
              <w:t>7-9 Months</w:t>
            </w:r>
          </w:p>
        </w:tc>
        <w:tc>
          <w:tcPr>
            <w:tcW w:w="1701" w:type="dxa"/>
            <w:shd w:val="clear" w:color="auto" w:fill="E7E6E6" w:themeFill="background2"/>
          </w:tcPr>
          <w:p w14:paraId="146EDD92" w14:textId="77777777" w:rsidR="009433D1" w:rsidRDefault="009433D1" w:rsidP="000061E7">
            <w:pPr>
              <w:jc w:val="center"/>
              <w:rPr>
                <w:b/>
                <w:bCs/>
              </w:rPr>
            </w:pPr>
            <w:r>
              <w:rPr>
                <w:b/>
                <w:bCs/>
              </w:rPr>
              <w:t>10+ Months</w:t>
            </w:r>
          </w:p>
        </w:tc>
        <w:tc>
          <w:tcPr>
            <w:tcW w:w="1107" w:type="dxa"/>
            <w:shd w:val="clear" w:color="auto" w:fill="E7E6E6" w:themeFill="background2"/>
          </w:tcPr>
          <w:p w14:paraId="7C36E0A9" w14:textId="77777777" w:rsidR="009433D1" w:rsidRDefault="009433D1" w:rsidP="000061E7">
            <w:pPr>
              <w:jc w:val="center"/>
              <w:rPr>
                <w:b/>
                <w:bCs/>
              </w:rPr>
            </w:pPr>
            <w:r>
              <w:rPr>
                <w:b/>
                <w:bCs/>
              </w:rPr>
              <w:t>TOTAL</w:t>
            </w:r>
          </w:p>
        </w:tc>
      </w:tr>
      <w:tr w:rsidR="009433D1" w14:paraId="58E17826" w14:textId="77777777" w:rsidTr="000061E7">
        <w:trPr>
          <w:trHeight w:val="275"/>
        </w:trPr>
        <w:tc>
          <w:tcPr>
            <w:tcW w:w="1383" w:type="dxa"/>
          </w:tcPr>
          <w:p w14:paraId="4F7C4CEC" w14:textId="77777777" w:rsidR="009433D1" w:rsidRDefault="009433D1" w:rsidP="000061E7">
            <w:pPr>
              <w:jc w:val="center"/>
              <w:rPr>
                <w:b/>
                <w:bCs/>
              </w:rPr>
            </w:pPr>
            <w:bookmarkStart w:id="0" w:name="_Hlk116421263"/>
            <w:r>
              <w:rPr>
                <w:b/>
                <w:bCs/>
              </w:rPr>
              <w:t>December 2022</w:t>
            </w:r>
          </w:p>
        </w:tc>
        <w:tc>
          <w:tcPr>
            <w:tcW w:w="1669" w:type="dxa"/>
          </w:tcPr>
          <w:p w14:paraId="6E9FD7B1" w14:textId="77777777" w:rsidR="009433D1" w:rsidRDefault="009433D1" w:rsidP="000061E7">
            <w:pPr>
              <w:jc w:val="center"/>
              <w:rPr>
                <w:b/>
                <w:bCs/>
              </w:rPr>
            </w:pPr>
            <w:r>
              <w:rPr>
                <w:b/>
                <w:bCs/>
              </w:rPr>
              <w:t>527</w:t>
            </w:r>
          </w:p>
        </w:tc>
        <w:tc>
          <w:tcPr>
            <w:tcW w:w="1584" w:type="dxa"/>
          </w:tcPr>
          <w:p w14:paraId="052298F7" w14:textId="77777777" w:rsidR="009433D1" w:rsidRDefault="009433D1" w:rsidP="000061E7">
            <w:pPr>
              <w:jc w:val="center"/>
              <w:rPr>
                <w:b/>
                <w:bCs/>
              </w:rPr>
            </w:pPr>
            <w:r>
              <w:rPr>
                <w:b/>
                <w:bCs/>
              </w:rPr>
              <w:t>6</w:t>
            </w:r>
          </w:p>
        </w:tc>
        <w:tc>
          <w:tcPr>
            <w:tcW w:w="2049" w:type="dxa"/>
          </w:tcPr>
          <w:p w14:paraId="1B52F25B" w14:textId="77777777" w:rsidR="009433D1" w:rsidRDefault="009433D1" w:rsidP="000061E7">
            <w:pPr>
              <w:jc w:val="center"/>
              <w:rPr>
                <w:b/>
                <w:bCs/>
              </w:rPr>
            </w:pPr>
            <w:r>
              <w:rPr>
                <w:b/>
                <w:bCs/>
              </w:rPr>
              <w:t>0</w:t>
            </w:r>
          </w:p>
        </w:tc>
        <w:tc>
          <w:tcPr>
            <w:tcW w:w="1701" w:type="dxa"/>
          </w:tcPr>
          <w:p w14:paraId="5828507E" w14:textId="77777777" w:rsidR="009433D1" w:rsidRDefault="009433D1" w:rsidP="000061E7">
            <w:pPr>
              <w:jc w:val="center"/>
              <w:rPr>
                <w:b/>
                <w:bCs/>
              </w:rPr>
            </w:pPr>
            <w:r>
              <w:rPr>
                <w:b/>
                <w:bCs/>
              </w:rPr>
              <w:t>0</w:t>
            </w:r>
          </w:p>
        </w:tc>
        <w:tc>
          <w:tcPr>
            <w:tcW w:w="1107" w:type="dxa"/>
          </w:tcPr>
          <w:p w14:paraId="1DA4DDE6" w14:textId="77777777" w:rsidR="009433D1" w:rsidRDefault="009433D1" w:rsidP="000061E7">
            <w:pPr>
              <w:jc w:val="center"/>
              <w:rPr>
                <w:b/>
                <w:bCs/>
              </w:rPr>
            </w:pPr>
            <w:r>
              <w:rPr>
                <w:b/>
                <w:bCs/>
              </w:rPr>
              <w:t>533</w:t>
            </w:r>
          </w:p>
        </w:tc>
      </w:tr>
      <w:bookmarkEnd w:id="0"/>
    </w:tbl>
    <w:p w14:paraId="5CCB4177" w14:textId="77777777" w:rsidR="009433D1" w:rsidRDefault="009433D1" w:rsidP="009433D1">
      <w:pPr>
        <w:spacing w:after="0" w:line="240" w:lineRule="auto"/>
      </w:pPr>
    </w:p>
    <w:p w14:paraId="7C9B4F23" w14:textId="77777777" w:rsidR="009433D1" w:rsidRPr="00C00777" w:rsidRDefault="009433D1" w:rsidP="009433D1">
      <w:pPr>
        <w:spacing w:after="0" w:line="240" w:lineRule="auto"/>
        <w:rPr>
          <w14:textOutline w14:w="38100" w14:cap="rnd" w14:cmpd="sng" w14:algn="ctr">
            <w14:solidFill>
              <w14:schemeClr w14:val="tx1"/>
            </w14:solidFill>
            <w14:prstDash w14:val="solid"/>
            <w14:bevel/>
          </w14:textOutline>
        </w:rPr>
      </w:pPr>
      <w:r w:rsidRPr="001D0E50">
        <w:rPr>
          <w:noProof/>
          <w:u w:val="single"/>
        </w:rPr>
        <w:drawing>
          <wp:inline distT="0" distB="0" distL="0" distR="0" wp14:anchorId="2426BEA2" wp14:editId="7D6C2411">
            <wp:extent cx="6010275" cy="4196715"/>
            <wp:effectExtent l="0" t="0" r="9525"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37FAE8" w14:textId="77777777" w:rsidR="009433D1" w:rsidRDefault="009433D1" w:rsidP="009433D1">
      <w:pPr>
        <w:spacing w:after="0" w:line="240" w:lineRule="auto"/>
        <w:ind w:left="360"/>
      </w:pPr>
    </w:p>
    <w:p w14:paraId="17A1869A" w14:textId="77777777" w:rsidR="009433D1" w:rsidRDefault="009433D1" w:rsidP="009433D1">
      <w:pPr>
        <w:spacing w:after="0" w:line="240" w:lineRule="auto"/>
      </w:pPr>
      <w:r>
        <w:t xml:space="preserve">*Gifted Assessment Referrals increased from </w:t>
      </w:r>
      <w:r w:rsidRPr="0023699E">
        <w:rPr>
          <w:b/>
          <w:bCs/>
        </w:rPr>
        <w:t>184 in November 2022 to 755 in December 2022.</w:t>
      </w:r>
    </w:p>
    <w:p w14:paraId="2AB58036" w14:textId="77777777" w:rsidR="009433D1" w:rsidRDefault="009433D1" w:rsidP="009433D1">
      <w:pPr>
        <w:spacing w:after="0" w:line="240" w:lineRule="auto"/>
      </w:pPr>
    </w:p>
    <w:p w14:paraId="10046F49" w14:textId="77777777" w:rsidR="009433D1" w:rsidRPr="00CD2531" w:rsidRDefault="009433D1" w:rsidP="009433D1">
      <w:pPr>
        <w:spacing w:after="0" w:line="240" w:lineRule="auto"/>
      </w:pPr>
      <w:r w:rsidRPr="00C00777">
        <w:rPr>
          <w:noProof/>
        </w:rPr>
        <w:t xml:space="preserve"> </w:t>
      </w:r>
    </w:p>
    <w:p w14:paraId="69E71095" w14:textId="77777777" w:rsidR="009433D1" w:rsidRDefault="009433D1">
      <w:pPr>
        <w:spacing w:after="0" w:line="240" w:lineRule="auto"/>
        <w:jc w:val="both"/>
        <w:rPr>
          <w:rFonts w:ascii="Arial" w:eastAsia="Arial" w:hAnsi="Arial" w:cs="Arial"/>
          <w:b/>
          <w:sz w:val="28"/>
          <w:szCs w:val="28"/>
        </w:rPr>
      </w:pPr>
    </w:p>
    <w:sectPr w:rsidR="009433D1">
      <w:headerReference w:type="default" r:id="rId18"/>
      <w:footerReference w:type="default" r:id="rId19"/>
      <w:pgSz w:w="12240" w:h="15840"/>
      <w:pgMar w:top="450" w:right="900" w:bottom="1440" w:left="851"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5008" w14:textId="77777777" w:rsidR="00B93E84" w:rsidRDefault="00B93E84">
      <w:pPr>
        <w:spacing w:after="0" w:line="240" w:lineRule="auto"/>
      </w:pPr>
      <w:r>
        <w:separator/>
      </w:r>
    </w:p>
  </w:endnote>
  <w:endnote w:type="continuationSeparator" w:id="0">
    <w:p w14:paraId="19748764" w14:textId="77777777" w:rsidR="00B93E84" w:rsidRDefault="00B9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0B27" w14:textId="77777777" w:rsidR="00250CAE" w:rsidRDefault="009F4FB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8DC9383" wp14:editId="0113CF54">
          <wp:extent cx="6660515" cy="334645"/>
          <wp:effectExtent l="0" t="0" r="0" b="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0515" cy="334645"/>
                  </a:xfrm>
                  <a:prstGeom prst="rect">
                    <a:avLst/>
                  </a:prstGeom>
                  <a:ln/>
                </pic:spPr>
              </pic:pic>
            </a:graphicData>
          </a:graphic>
        </wp:inline>
      </w:drawing>
    </w:r>
  </w:p>
  <w:p w14:paraId="57E17FDA" w14:textId="77777777" w:rsidR="00250CAE" w:rsidRDefault="009F4FBD">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8761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096B" w14:textId="77777777" w:rsidR="00B93E84" w:rsidRDefault="00B93E84">
      <w:pPr>
        <w:spacing w:after="0" w:line="240" w:lineRule="auto"/>
      </w:pPr>
      <w:r>
        <w:separator/>
      </w:r>
    </w:p>
  </w:footnote>
  <w:footnote w:type="continuationSeparator" w:id="0">
    <w:p w14:paraId="38F2172B" w14:textId="77777777" w:rsidR="00B93E84" w:rsidRDefault="00B9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F503" w14:textId="77777777" w:rsidR="00250CAE" w:rsidRDefault="009F4FBD">
    <w:pPr>
      <w:pBdr>
        <w:top w:val="nil"/>
        <w:left w:val="nil"/>
        <w:bottom w:val="nil"/>
        <w:right w:val="nil"/>
        <w:between w:val="nil"/>
      </w:pBdr>
      <w:tabs>
        <w:tab w:val="center" w:pos="4680"/>
        <w:tab w:val="right" w:pos="9360"/>
      </w:tabs>
      <w:spacing w:after="0" w:line="240" w:lineRule="auto"/>
      <w:rPr>
        <w:color w:val="000000"/>
      </w:rPr>
    </w:pPr>
    <w:r>
      <w:rPr>
        <w:noProof/>
      </w:rPr>
      <w:drawing>
        <wp:anchor distT="114300" distB="114300" distL="114300" distR="114300" simplePos="0" relativeHeight="251658240" behindDoc="0" locked="0" layoutInCell="1" hidden="0" allowOverlap="1" wp14:anchorId="6C6A33EC" wp14:editId="4156C551">
          <wp:simplePos x="0" y="0"/>
          <wp:positionH relativeFrom="column">
            <wp:posOffset>-238120</wp:posOffset>
          </wp:positionH>
          <wp:positionV relativeFrom="paragraph">
            <wp:posOffset>34434</wp:posOffset>
          </wp:positionV>
          <wp:extent cx="2648320" cy="646748"/>
          <wp:effectExtent l="0" t="0" r="0" b="0"/>
          <wp:wrapNone/>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48320" cy="646748"/>
                  </a:xfrm>
                  <a:prstGeom prst="rect">
                    <a:avLst/>
                  </a:prstGeom>
                  <a:ln/>
                </pic:spPr>
              </pic:pic>
            </a:graphicData>
          </a:graphic>
        </wp:anchor>
      </w:drawing>
    </w:r>
  </w:p>
  <w:p w14:paraId="502E4BAE" w14:textId="77777777" w:rsidR="00250CAE" w:rsidRDefault="00250CAE">
    <w:pPr>
      <w:pBdr>
        <w:top w:val="nil"/>
        <w:left w:val="nil"/>
        <w:bottom w:val="nil"/>
        <w:right w:val="nil"/>
        <w:between w:val="nil"/>
      </w:pBdr>
      <w:tabs>
        <w:tab w:val="center" w:pos="4680"/>
        <w:tab w:val="right" w:pos="9360"/>
      </w:tabs>
      <w:spacing w:after="0" w:line="240" w:lineRule="auto"/>
    </w:pPr>
  </w:p>
  <w:p w14:paraId="1B1A3904" w14:textId="77777777" w:rsidR="00250CAE" w:rsidRDefault="00250CAE">
    <w:pPr>
      <w:pBdr>
        <w:top w:val="nil"/>
        <w:left w:val="nil"/>
        <w:bottom w:val="nil"/>
        <w:right w:val="nil"/>
        <w:between w:val="nil"/>
      </w:pBdr>
      <w:tabs>
        <w:tab w:val="center" w:pos="4680"/>
        <w:tab w:val="right" w:pos="9360"/>
      </w:tabs>
      <w:spacing w:after="0" w:line="240" w:lineRule="auto"/>
    </w:pPr>
  </w:p>
  <w:p w14:paraId="580A0A05" w14:textId="77777777" w:rsidR="00250CAE" w:rsidRDefault="00250CAE">
    <w:pPr>
      <w:pBdr>
        <w:top w:val="nil"/>
        <w:left w:val="nil"/>
        <w:bottom w:val="nil"/>
        <w:right w:val="nil"/>
        <w:between w:val="nil"/>
      </w:pBdr>
      <w:tabs>
        <w:tab w:val="center" w:pos="4680"/>
        <w:tab w:val="right" w:pos="9360"/>
      </w:tabs>
      <w:spacing w:after="0" w:line="240" w:lineRule="auto"/>
    </w:pPr>
  </w:p>
  <w:p w14:paraId="142F4B2B" w14:textId="77777777" w:rsidR="00250CAE" w:rsidRDefault="00250CAE">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12F"/>
    <w:multiLevelType w:val="hybridMultilevel"/>
    <w:tmpl w:val="D166C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B22D12"/>
    <w:multiLevelType w:val="hybridMultilevel"/>
    <w:tmpl w:val="94588A0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AA70126"/>
    <w:multiLevelType w:val="multilevel"/>
    <w:tmpl w:val="79B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7512FE"/>
    <w:multiLevelType w:val="hybridMultilevel"/>
    <w:tmpl w:val="CAD01024"/>
    <w:lvl w:ilvl="0" w:tplc="F15634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5D2FA4"/>
    <w:multiLevelType w:val="hybridMultilevel"/>
    <w:tmpl w:val="D8EC7D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3E6568C"/>
    <w:multiLevelType w:val="hybridMultilevel"/>
    <w:tmpl w:val="0E30C3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9B72EB1"/>
    <w:multiLevelType w:val="hybridMultilevel"/>
    <w:tmpl w:val="E7403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7918A9"/>
    <w:multiLevelType w:val="hybridMultilevel"/>
    <w:tmpl w:val="8B04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853376">
    <w:abstractNumId w:val="2"/>
  </w:num>
  <w:num w:numId="2" w16cid:durableId="507720488">
    <w:abstractNumId w:val="4"/>
  </w:num>
  <w:num w:numId="3" w16cid:durableId="1127360206">
    <w:abstractNumId w:val="1"/>
  </w:num>
  <w:num w:numId="4" w16cid:durableId="1680501863">
    <w:abstractNumId w:val="6"/>
  </w:num>
  <w:num w:numId="5" w16cid:durableId="1989169621">
    <w:abstractNumId w:val="3"/>
  </w:num>
  <w:num w:numId="6" w16cid:durableId="563679426">
    <w:abstractNumId w:val="7"/>
  </w:num>
  <w:num w:numId="7" w16cid:durableId="649410756">
    <w:abstractNumId w:val="0"/>
  </w:num>
  <w:num w:numId="8" w16cid:durableId="44914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AE"/>
    <w:rsid w:val="00250CAE"/>
    <w:rsid w:val="008761DA"/>
    <w:rsid w:val="009433D1"/>
    <w:rsid w:val="009F4FBD"/>
    <w:rsid w:val="00B93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1120"/>
  <w15:docId w15:val="{44E739FC-FA55-42F4-8387-77AE7275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570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C5"/>
  </w:style>
  <w:style w:type="paragraph" w:styleId="Footer">
    <w:name w:val="footer"/>
    <w:basedOn w:val="Normal"/>
    <w:link w:val="FooterChar"/>
    <w:uiPriority w:val="99"/>
    <w:unhideWhenUsed/>
    <w:rsid w:val="00FA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C5"/>
  </w:style>
  <w:style w:type="character" w:styleId="Hyperlink">
    <w:name w:val="Hyperlink"/>
    <w:basedOn w:val="DefaultParagraphFont"/>
    <w:uiPriority w:val="99"/>
    <w:unhideWhenUsed/>
    <w:rsid w:val="00325C39"/>
    <w:rPr>
      <w:color w:val="0563C1" w:themeColor="hyperlink"/>
      <w:u w:val="single"/>
    </w:rPr>
  </w:style>
  <w:style w:type="character" w:styleId="UnresolvedMention">
    <w:name w:val="Unresolved Mention"/>
    <w:basedOn w:val="DefaultParagraphFont"/>
    <w:uiPriority w:val="99"/>
    <w:semiHidden/>
    <w:unhideWhenUsed/>
    <w:rsid w:val="00325C39"/>
    <w:rPr>
      <w:color w:val="605E5C"/>
      <w:shd w:val="clear" w:color="auto" w:fill="E1DFDD"/>
    </w:rPr>
  </w:style>
  <w:style w:type="character" w:styleId="FollowedHyperlink">
    <w:name w:val="FollowedHyperlink"/>
    <w:basedOn w:val="DefaultParagraphFont"/>
    <w:uiPriority w:val="99"/>
    <w:semiHidden/>
    <w:unhideWhenUsed/>
    <w:rsid w:val="00325C39"/>
    <w:rPr>
      <w:color w:val="954F72" w:themeColor="followedHyperlink"/>
      <w:u w:val="single"/>
    </w:rPr>
  </w:style>
  <w:style w:type="character" w:customStyle="1" w:styleId="e2ma-style">
    <w:name w:val="e2ma-style"/>
    <w:basedOn w:val="DefaultParagraphFont"/>
    <w:rsid w:val="00A0410E"/>
  </w:style>
  <w:style w:type="paragraph" w:styleId="ListParagraph">
    <w:name w:val="List Paragraph"/>
    <w:basedOn w:val="Normal"/>
    <w:uiPriority w:val="34"/>
    <w:qFormat/>
    <w:rsid w:val="00F972F9"/>
    <w:pPr>
      <w:spacing w:after="200" w:line="276" w:lineRule="auto"/>
      <w:ind w:left="720"/>
      <w:contextualSpacing/>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9433D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1">
    <w:name w:val="font111"/>
    <w:basedOn w:val="DefaultParagraphFont"/>
    <w:rsid w:val="009433D1"/>
    <w:rPr>
      <w:rFonts w:ascii="Arial" w:hAnsi="Arial" w:cs="Arial" w:hint="default"/>
      <w:b w:val="0"/>
      <w:bCs w:val="0"/>
      <w:i/>
      <w:iCs/>
      <w:strike w:val="0"/>
      <w:dstrike w:val="0"/>
      <w:color w:val="000000"/>
      <w:sz w:val="20"/>
      <w:szCs w:val="20"/>
      <w:u w:val="none"/>
      <w:effect w:val="none"/>
    </w:rPr>
  </w:style>
  <w:style w:type="character" w:customStyle="1" w:styleId="font121">
    <w:name w:val="font121"/>
    <w:basedOn w:val="DefaultParagraphFont"/>
    <w:rsid w:val="009433D1"/>
    <w:rPr>
      <w:rFonts w:ascii="Arial" w:hAnsi="Arial" w:cs="Arial" w:hint="default"/>
      <w:b w:val="0"/>
      <w:bCs w:val="0"/>
      <w:i/>
      <w:iCs/>
      <w:color w:val="000000"/>
      <w:sz w:val="20"/>
      <w:szCs w:val="20"/>
      <w:u w:val="single"/>
    </w:rPr>
  </w:style>
  <w:style w:type="character" w:customStyle="1" w:styleId="font131">
    <w:name w:val="font131"/>
    <w:basedOn w:val="DefaultParagraphFont"/>
    <w:rsid w:val="009433D1"/>
    <w:rPr>
      <w:rFonts w:ascii="Arial" w:hAnsi="Arial" w:cs="Arial" w:hint="default"/>
      <w:b/>
      <w:bCs/>
      <w:i/>
      <w:iCs/>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a:latin typeface="Arial" panose="020B0604020202020204" pitchFamily="34" charset="0"/>
                <a:cs typeface="Arial" panose="020B0604020202020204" pitchFamily="34" charset="0"/>
              </a:rPr>
              <a:t>TOTAL REFERRALS</a:t>
            </a:r>
          </a:p>
          <a:p>
            <a:pPr>
              <a:defRPr>
                <a:latin typeface="Arial" panose="020B0604020202020204" pitchFamily="34" charset="0"/>
                <a:cs typeface="Arial" panose="020B0604020202020204" pitchFamily="34" charset="0"/>
              </a:defRPr>
            </a:pPr>
            <a:r>
              <a:rPr lang="en-US" sz="1400">
                <a:latin typeface="Arial" panose="020B0604020202020204" pitchFamily="34" charset="0"/>
                <a:cs typeface="Arial" panose="020B0604020202020204" pitchFamily="34" charset="0"/>
              </a:rPr>
              <a:t>GIFTED, DK &amp; COMPREHENSIVE</a:t>
            </a:r>
          </a:p>
          <a:p>
            <a:pPr>
              <a:defRPr>
                <a:latin typeface="Arial" panose="020B0604020202020204" pitchFamily="34" charset="0"/>
                <a:cs typeface="Arial" panose="020B0604020202020204" pitchFamily="34" charset="0"/>
              </a:defRPr>
            </a:pPr>
            <a:r>
              <a:rPr lang="en-US" sz="1400">
                <a:latin typeface="Arial" panose="020B0604020202020204" pitchFamily="34" charset="0"/>
                <a:cs typeface="Arial" panose="020B0604020202020204" pitchFamily="34" charset="0"/>
              </a:rPr>
              <a:t>(SEPT-dec)</a:t>
            </a:r>
          </a:p>
        </c:rich>
      </c:tx>
      <c:layout>
        <c:manualLayout>
          <c:xMode val="edge"/>
          <c:yMode val="edge"/>
          <c:x val="0.29845841695145098"/>
          <c:y val="0"/>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540576367348028"/>
          <c:w val="1"/>
          <c:h val="0.69397067790768574"/>
        </c:manualLayout>
      </c:layout>
      <c:pie3DChart>
        <c:varyColors val="1"/>
        <c:ser>
          <c:idx val="0"/>
          <c:order val="0"/>
          <c:tx>
            <c:strRef>
              <c:f>Sheet1!$B$1</c:f>
              <c:strCache>
                <c:ptCount val="1"/>
                <c:pt idx="0">
                  <c:v>.</c:v>
                </c:pt>
              </c:strCache>
            </c:strRef>
          </c:tx>
          <c:explosion val="1"/>
          <c:dPt>
            <c:idx val="0"/>
            <c:bubble3D val="0"/>
            <c:spPr>
              <a:solidFill>
                <a:srgbClr val="FFC000"/>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512-4A73-8F27-FEE8C410D97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512-4A73-8F27-FEE8C410D974}"/>
              </c:ext>
            </c:extLst>
          </c:dPt>
          <c:dPt>
            <c:idx val="2"/>
            <c:bubble3D val="0"/>
            <c:spPr>
              <a:solidFill>
                <a:schemeClr val="accent1"/>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512-4A73-8F27-FEE8C410D97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3512-4A73-8F27-FEE8C410D97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3512-4A73-8F27-FEE8C410D974}"/>
              </c:ext>
            </c:extLst>
          </c:dPt>
          <c:dLbls>
            <c:dLbl>
              <c:idx val="0"/>
              <c:layout>
                <c:manualLayout>
                  <c:x val="0.14133824195818023"/>
                  <c:y val="7.83989501312335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5773495-BC25-403F-A94D-533374C966A1}" type="CATEGORYNAME">
                      <a:rPr lang="en-US" sz="1050" b="1">
                        <a:solidFill>
                          <a:sysClr val="windowText" lastClr="000000"/>
                        </a:solidFill>
                        <a:latin typeface="Arial" panose="020B0604020202020204" pitchFamily="34" charset="0"/>
                        <a:cs typeface="Arial" panose="020B0604020202020204" pitchFamily="34" charset="0"/>
                      </a:rPr>
                      <a:pPr>
                        <a:defRPr/>
                      </a:pPr>
                      <a:t>[CATEGORY NAME]</a:t>
                    </a:fld>
                    <a:r>
                      <a:rPr lang="en-US" sz="1050" b="1" baseline="0">
                        <a:solidFill>
                          <a:sysClr val="windowText" lastClr="000000"/>
                        </a:solidFill>
                        <a:latin typeface="Arial" panose="020B0604020202020204" pitchFamily="34" charset="0"/>
                        <a:cs typeface="Arial" panose="020B0604020202020204" pitchFamily="34" charset="0"/>
                      </a:rPr>
                      <a:t>
</a:t>
                    </a:r>
                    <a:fld id="{D5BD9D1E-4A23-408D-883C-BD13D018AC89}" type="PERCENTAGE">
                      <a:rPr lang="en-US" sz="1050" b="1" baseline="0">
                        <a:solidFill>
                          <a:sysClr val="windowText" lastClr="000000"/>
                        </a:solidFill>
                        <a:latin typeface="Arial" panose="020B0604020202020204" pitchFamily="34" charset="0"/>
                        <a:cs typeface="Arial" panose="020B0604020202020204" pitchFamily="34" charset="0"/>
                      </a:rPr>
                      <a:pPr>
                        <a:defRPr/>
                      </a:pPr>
                      <a:t>[PERCENTAGE]</a:t>
                    </a:fld>
                    <a:endParaRPr lang="en-US" sz="1050" b="1" baseline="0">
                      <a:solidFill>
                        <a:sysClr val="windowText" lastClr="000000"/>
                      </a:solidFill>
                      <a:latin typeface="Arial" panose="020B0604020202020204" pitchFamily="34" charset="0"/>
                      <a:cs typeface="Arial" panose="020B0604020202020204" pitchFamily="34" charset="0"/>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512-4A73-8F27-FEE8C410D974}"/>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CEF6839-C140-4246-96D5-EC3CAA26D569}" type="CATEGORYNAME">
                      <a:rPr lang="en-US" sz="1200" b="1">
                        <a:solidFill>
                          <a:sysClr val="windowText" lastClr="000000"/>
                        </a:solidFill>
                        <a:latin typeface="Arial" panose="020B0604020202020204" pitchFamily="34" charset="0"/>
                        <a:cs typeface="Arial" panose="020B0604020202020204" pitchFamily="34" charset="0"/>
                      </a:rPr>
                      <a:pPr>
                        <a:defRPr>
                          <a:solidFill>
                            <a:schemeClr val="accent1"/>
                          </a:solidFill>
                        </a:defRPr>
                      </a:pPr>
                      <a:t>[CATEGORY NAME]</a:t>
                    </a:fld>
                    <a:r>
                      <a:rPr lang="en-US" sz="1200" b="1" baseline="0">
                        <a:solidFill>
                          <a:sysClr val="windowText" lastClr="000000"/>
                        </a:solidFill>
                        <a:latin typeface="Arial" panose="020B0604020202020204" pitchFamily="34" charset="0"/>
                        <a:cs typeface="Arial" panose="020B0604020202020204" pitchFamily="34" charset="0"/>
                      </a:rPr>
                      <a:t>
</a:t>
                    </a:r>
                    <a:fld id="{2FB44575-C8F3-45D7-B5EC-569A61D11E7D}" type="PERCENTAGE">
                      <a:rPr lang="en-US" sz="1200" b="1" baseline="0">
                        <a:solidFill>
                          <a:sysClr val="windowText" lastClr="000000"/>
                        </a:solidFill>
                        <a:latin typeface="Arial" panose="020B0604020202020204" pitchFamily="34" charset="0"/>
                        <a:cs typeface="Arial" panose="020B0604020202020204" pitchFamily="34" charset="0"/>
                      </a:rPr>
                      <a:pPr>
                        <a:defRPr>
                          <a:solidFill>
                            <a:schemeClr val="accent1"/>
                          </a:solidFill>
                        </a:defRPr>
                      </a:pPr>
                      <a:t>[PERCENTAGE]</a:t>
                    </a:fld>
                    <a:endParaRPr lang="en-US" sz="1200" b="1" baseline="0">
                      <a:solidFill>
                        <a:sysClr val="windowText" lastClr="000000"/>
                      </a:solidFill>
                      <a:latin typeface="Arial" panose="020B0604020202020204" pitchFamily="34" charset="0"/>
                      <a:cs typeface="Arial" panose="020B0604020202020204" pitchFamily="34" charset="0"/>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512-4A73-8F27-FEE8C410D974}"/>
                </c:ext>
              </c:extLst>
            </c:dLbl>
            <c:dLbl>
              <c:idx val="2"/>
              <c:layout>
                <c:manualLayout>
                  <c:x val="-0.12593178124478274"/>
                  <c:y val="4.403854821177655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2AA15C25-08F1-46E0-A939-489CE5905A54}" type="CATEGORYNAME">
                      <a:rPr lang="en-US" sz="1100" b="1">
                        <a:solidFill>
                          <a:sysClr val="windowText" lastClr="000000"/>
                        </a:solidFill>
                        <a:latin typeface="Arial" panose="020B0604020202020204" pitchFamily="34" charset="0"/>
                        <a:cs typeface="Arial" panose="020B0604020202020204" pitchFamily="34" charset="0"/>
                      </a:rPr>
                      <a:pPr>
                        <a:defRPr>
                          <a:solidFill>
                            <a:schemeClr val="accent1"/>
                          </a:solidFill>
                        </a:defRPr>
                      </a:pPr>
                      <a:t>[CATEGORY NAME]</a:t>
                    </a:fld>
                    <a:r>
                      <a:rPr lang="en-US" sz="1100" b="1" baseline="0">
                        <a:solidFill>
                          <a:sysClr val="windowText" lastClr="000000"/>
                        </a:solidFill>
                        <a:latin typeface="Arial" panose="020B0604020202020204" pitchFamily="34" charset="0"/>
                        <a:cs typeface="Arial" panose="020B0604020202020204" pitchFamily="34" charset="0"/>
                      </a:rPr>
                      <a:t>
</a:t>
                    </a:r>
                    <a:fld id="{129EB1BB-6BF0-4845-BCEF-83B2775AF22B}" type="PERCENTAGE">
                      <a:rPr lang="en-US" sz="1100" b="1" baseline="0">
                        <a:solidFill>
                          <a:sysClr val="windowText" lastClr="000000"/>
                        </a:solidFill>
                        <a:latin typeface="Arial" panose="020B0604020202020204" pitchFamily="34" charset="0"/>
                        <a:cs typeface="Arial" panose="020B0604020202020204" pitchFamily="34" charset="0"/>
                      </a:rPr>
                      <a:pPr>
                        <a:defRPr>
                          <a:solidFill>
                            <a:schemeClr val="accent1"/>
                          </a:solidFill>
                        </a:defRPr>
                      </a:pPr>
                      <a:t>[PERCENTAGE]</a:t>
                    </a:fld>
                    <a:endParaRPr lang="en-US" sz="1100" b="1" baseline="0">
                      <a:solidFill>
                        <a:sysClr val="windowText" lastClr="000000"/>
                      </a:solidFill>
                      <a:latin typeface="Arial" panose="020B0604020202020204" pitchFamily="34" charset="0"/>
                      <a:cs typeface="Arial" panose="020B0604020202020204" pitchFamily="34" charset="0"/>
                    </a:endParaRP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512-4A73-8F27-FEE8C410D97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3512-4A73-8F27-FEE8C410D97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9-3512-4A73-8F27-FEE8C410D974}"/>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3"/>
                <c:pt idx="0">
                  <c:v>Total Gifted Referrals</c:v>
                </c:pt>
                <c:pt idx="1">
                  <c:v>Total Comprhensive </c:v>
                </c:pt>
                <c:pt idx="2">
                  <c:v>Total DK</c:v>
                </c:pt>
              </c:strCache>
            </c:strRef>
          </c:cat>
          <c:val>
            <c:numRef>
              <c:f>Sheet1!$B$2:$B$6</c:f>
              <c:numCache>
                <c:formatCode>General</c:formatCode>
                <c:ptCount val="5"/>
                <c:pt idx="0">
                  <c:v>755</c:v>
                </c:pt>
                <c:pt idx="1">
                  <c:v>2089</c:v>
                </c:pt>
                <c:pt idx="2">
                  <c:v>176</c:v>
                </c:pt>
              </c:numCache>
            </c:numRef>
          </c:val>
          <c:extLst>
            <c:ext xmlns:c16="http://schemas.microsoft.com/office/drawing/2014/chart" uri="{C3380CC4-5D6E-409C-BE32-E72D297353CC}">
              <c16:uniqueId val="{0000000A-3512-4A73-8F27-FEE8C410D974}"/>
            </c:ext>
          </c:extLst>
        </c:ser>
        <c:ser>
          <c:idx val="1"/>
          <c:order val="1"/>
          <c:tx>
            <c:strRef>
              <c:f>Sheet1!$C$1</c:f>
              <c:strCache>
                <c:ptCount val="1"/>
                <c:pt idx="0">
                  <c:v>Column1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C-3512-4A73-8F27-FEE8C410D97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E-3512-4A73-8F27-FEE8C410D97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0-3512-4A73-8F27-FEE8C410D97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2-3512-4A73-8F27-FEE8C410D97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4-3512-4A73-8F27-FEE8C410D97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C-3512-4A73-8F27-FEE8C410D974}"/>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E-3512-4A73-8F27-FEE8C410D97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0-3512-4A73-8F27-FEE8C410D97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2-3512-4A73-8F27-FEE8C410D97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4-3512-4A73-8F27-FEE8C410D974}"/>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3"/>
                <c:pt idx="0">
                  <c:v>Total Gifted Referrals</c:v>
                </c:pt>
                <c:pt idx="1">
                  <c:v>Total Comprhensive </c:v>
                </c:pt>
                <c:pt idx="2">
                  <c:v>Total DK</c:v>
                </c:pt>
              </c:strCache>
            </c:strRef>
          </c:cat>
          <c:val>
            <c:numRef>
              <c:f>Sheet1!$C$2:$C$6</c:f>
              <c:numCache>
                <c:formatCode>General</c:formatCode>
                <c:ptCount val="5"/>
              </c:numCache>
            </c:numRef>
          </c:val>
          <c:extLst>
            <c:ext xmlns:c16="http://schemas.microsoft.com/office/drawing/2014/chart" uri="{C3380CC4-5D6E-409C-BE32-E72D297353CC}">
              <c16:uniqueId val="{00000015-3512-4A73-8F27-FEE8C410D974}"/>
            </c:ext>
          </c:extLst>
        </c:ser>
        <c:ser>
          <c:idx val="2"/>
          <c:order val="2"/>
          <c:tx>
            <c:strRef>
              <c:f>Sheet1!$D$1</c:f>
              <c:strCache>
                <c:ptCount val="1"/>
                <c:pt idx="0">
                  <c:v>Column2</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7-3512-4A73-8F27-FEE8C410D97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9-3512-4A73-8F27-FEE8C410D97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B-3512-4A73-8F27-FEE8C410D97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D-3512-4A73-8F27-FEE8C410D97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F-3512-4A73-8F27-FEE8C410D97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7-3512-4A73-8F27-FEE8C410D974}"/>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9-3512-4A73-8F27-FEE8C410D97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B-3512-4A73-8F27-FEE8C410D97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D-3512-4A73-8F27-FEE8C410D97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1F-3512-4A73-8F27-FEE8C410D974}"/>
                </c:ext>
              </c:extLst>
            </c:dLbl>
            <c:spPr>
              <a:solidFill>
                <a:sysClr val="window" lastClr="FFFFFF">
                  <a:alpha val="90000"/>
                </a:sysClr>
              </a:solidFill>
              <a:ln w="12700" cap="flat" cmpd="sng" algn="ctr">
                <a:solidFill>
                  <a:srgbClr val="A5A5A5"/>
                </a:solidFill>
                <a:round/>
              </a:ln>
              <a:effectLst>
                <a:outerShdw blurRad="50800" dist="38100" dir="2700000" algn="tl" rotWithShape="0">
                  <a:srgbClr val="A5A5A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3"/>
                <c:pt idx="0">
                  <c:v>Total Gifted Referrals</c:v>
                </c:pt>
                <c:pt idx="1">
                  <c:v>Total Comprhensive </c:v>
                </c:pt>
                <c:pt idx="2">
                  <c:v>Total DK</c:v>
                </c:pt>
              </c:strCache>
            </c:strRef>
          </c:cat>
          <c:val>
            <c:numRef>
              <c:f>Sheet1!$D$2:$D$6</c:f>
              <c:numCache>
                <c:formatCode>General</c:formatCode>
                <c:ptCount val="5"/>
              </c:numCache>
            </c:numRef>
          </c:val>
          <c:extLst>
            <c:ext xmlns:c16="http://schemas.microsoft.com/office/drawing/2014/chart" uri="{C3380CC4-5D6E-409C-BE32-E72D297353CC}">
              <c16:uniqueId val="{00000020-3512-4A73-8F27-FEE8C410D974}"/>
            </c:ext>
          </c:extLst>
        </c:ser>
        <c:ser>
          <c:idx val="3"/>
          <c:order val="3"/>
          <c:tx>
            <c:strRef>
              <c:f>Sheet1!$E$1</c:f>
              <c:strCache>
                <c:ptCount val="1"/>
                <c:pt idx="0">
                  <c:v>Column3</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22-3512-4A73-8F27-FEE8C410D97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24-3512-4A73-8F27-FEE8C410D97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26-3512-4A73-8F27-FEE8C410D97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8-3512-4A73-8F27-FEE8C410D97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A-3512-4A73-8F27-FEE8C410D97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2-3512-4A73-8F27-FEE8C410D974}"/>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4-3512-4A73-8F27-FEE8C410D97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6-3512-4A73-8F27-FEE8C410D97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8-3512-4A73-8F27-FEE8C410D97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A-3512-4A73-8F27-FEE8C410D974}"/>
                </c:ext>
              </c:extLst>
            </c:dLbl>
            <c:spPr>
              <a:solidFill>
                <a:sysClr val="window" lastClr="FFFFFF">
                  <a:alpha val="90000"/>
                </a:sysClr>
              </a:solidFill>
              <a:ln w="12700" cap="flat" cmpd="sng" algn="ctr">
                <a:solidFill>
                  <a:srgbClr val="FFC000"/>
                </a:solidFill>
                <a:round/>
              </a:ln>
              <a:effectLst>
                <a:outerShdw blurRad="50800" dist="38100" dir="2700000" algn="tl" rotWithShape="0">
                  <a:srgbClr val="FFC000">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3"/>
                <c:pt idx="0">
                  <c:v>Total Gifted Referrals</c:v>
                </c:pt>
                <c:pt idx="1">
                  <c:v>Total Comprhensive </c:v>
                </c:pt>
                <c:pt idx="2">
                  <c:v>Total DK</c:v>
                </c:pt>
              </c:strCache>
            </c:strRef>
          </c:cat>
          <c:val>
            <c:numRef>
              <c:f>Sheet1!$E$2:$E$6</c:f>
              <c:numCache>
                <c:formatCode>General</c:formatCode>
                <c:ptCount val="5"/>
              </c:numCache>
            </c:numRef>
          </c:val>
          <c:extLst>
            <c:ext xmlns:c16="http://schemas.microsoft.com/office/drawing/2014/chart" uri="{C3380CC4-5D6E-409C-BE32-E72D297353CC}">
              <c16:uniqueId val="{0000002B-3512-4A73-8F27-FEE8C410D974}"/>
            </c:ext>
          </c:extLst>
        </c:ser>
        <c:ser>
          <c:idx val="4"/>
          <c:order val="4"/>
          <c:tx>
            <c:strRef>
              <c:f>Sheet1!$F$1</c:f>
              <c:strCache>
                <c:ptCount val="1"/>
                <c:pt idx="0">
                  <c:v>Column4</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2D-3512-4A73-8F27-FEE8C410D97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2F-3512-4A73-8F27-FEE8C410D97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31-3512-4A73-8F27-FEE8C410D97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33-3512-4A73-8F27-FEE8C410D97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35-3512-4A73-8F27-FEE8C410D97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D-3512-4A73-8F27-FEE8C410D974}"/>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2F-3512-4A73-8F27-FEE8C410D97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31-3512-4A73-8F27-FEE8C410D97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33-3512-4A73-8F27-FEE8C410D97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35-3512-4A73-8F27-FEE8C410D974}"/>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3"/>
                <c:pt idx="0">
                  <c:v>Total Gifted Referrals</c:v>
                </c:pt>
                <c:pt idx="1">
                  <c:v>Total Comprhensive </c:v>
                </c:pt>
                <c:pt idx="2">
                  <c:v>Total DK</c:v>
                </c:pt>
              </c:strCache>
            </c:strRef>
          </c:cat>
          <c:val>
            <c:numRef>
              <c:f>Sheet1!$F$2:$F$6</c:f>
              <c:numCache>
                <c:formatCode>General</c:formatCode>
                <c:ptCount val="5"/>
              </c:numCache>
            </c:numRef>
          </c:val>
          <c:extLst>
            <c:ext xmlns:c16="http://schemas.microsoft.com/office/drawing/2014/chart" uri="{C3380CC4-5D6E-409C-BE32-E72D297353CC}">
              <c16:uniqueId val="{00000036-3512-4A73-8F27-FEE8C410D974}"/>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600" b="1">
                <a:solidFill>
                  <a:sysClr val="windowText" lastClr="000000"/>
                </a:solidFill>
                <a:latin typeface="Arial" panose="020B0604020202020204" pitchFamily="34" charset="0"/>
                <a:cs typeface="Arial" panose="020B0604020202020204" pitchFamily="34" charset="0"/>
              </a:rPr>
              <a:t>PSYCHOLOGICAL</a:t>
            </a:r>
            <a:r>
              <a:rPr lang="en-CA" sz="1600" b="1" baseline="0">
                <a:solidFill>
                  <a:sysClr val="windowText" lastClr="000000"/>
                </a:solidFill>
                <a:latin typeface="Arial" panose="020B0604020202020204" pitchFamily="34" charset="0"/>
                <a:cs typeface="Arial" panose="020B0604020202020204" pitchFamily="34" charset="0"/>
              </a:rPr>
              <a:t> REFERRALS-BREAKDOWN</a:t>
            </a:r>
          </a:p>
          <a:p>
            <a:pPr>
              <a:defRPr/>
            </a:pPr>
            <a:r>
              <a:rPr lang="en-CA" sz="1600" b="1" baseline="0">
                <a:solidFill>
                  <a:sysClr val="windowText" lastClr="000000"/>
                </a:solidFill>
                <a:latin typeface="Arial" panose="020B0604020202020204" pitchFamily="34" charset="0"/>
                <a:cs typeface="Arial" panose="020B0604020202020204" pitchFamily="34" charset="0"/>
              </a:rPr>
              <a:t>SEPT.-NOV.</a:t>
            </a:r>
            <a:endParaRPr lang="en-CA" sz="16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
          <c:y val="0.23224028057487175"/>
          <c:w val="0.71981057616416733"/>
          <c:h val="0.69874120681096308"/>
        </c:manualLayout>
      </c:layout>
      <c:bar3DChart>
        <c:barDir val="col"/>
        <c:grouping val="percentStacked"/>
        <c:varyColors val="0"/>
        <c:ser>
          <c:idx val="0"/>
          <c:order val="0"/>
          <c:tx>
            <c:strRef>
              <c:f>Sheet1!$B$1</c:f>
              <c:strCache>
                <c:ptCount val="1"/>
                <c:pt idx="0">
                  <c:v>Total Referrals</c:v>
                </c:pt>
              </c:strCache>
            </c:strRef>
          </c:tx>
          <c:spPr>
            <a:solidFill>
              <a:srgbClr val="00B050"/>
            </a:solidFill>
            <a:ln>
              <a:solidFill>
                <a:schemeClr val="accent6"/>
              </a:solidFill>
            </a:ln>
            <a:effectLst/>
            <a:sp3d>
              <a:contourClr>
                <a:schemeClr val="accent6"/>
              </a:contourClr>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1-8332-4DE2-9A13-7972BC1624B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c:v>
                </c:pt>
                <c:pt idx="2">
                  <c:v>Category 2</c:v>
                </c:pt>
              </c:strCache>
            </c:strRef>
          </c:cat>
          <c:val>
            <c:numRef>
              <c:f>Sheet1!$B$2:$B$4</c:f>
              <c:numCache>
                <c:formatCode>General</c:formatCode>
                <c:ptCount val="3"/>
                <c:pt idx="1">
                  <c:v>3056</c:v>
                </c:pt>
              </c:numCache>
            </c:numRef>
          </c:val>
          <c:extLst>
            <c:ext xmlns:c16="http://schemas.microsoft.com/office/drawing/2014/chart" uri="{C3380CC4-5D6E-409C-BE32-E72D297353CC}">
              <c16:uniqueId val="{00000002-8332-4DE2-9A13-7972BC1624BE}"/>
            </c:ext>
          </c:extLst>
        </c:ser>
        <c:ser>
          <c:idx val="1"/>
          <c:order val="1"/>
          <c:tx>
            <c:strRef>
              <c:f>Sheet1!$C$1</c:f>
              <c:strCache>
                <c:ptCount val="1"/>
                <c:pt idx="0">
                  <c:v>Waiting</c:v>
                </c:pt>
              </c:strCache>
            </c:strRef>
          </c:tx>
          <c:spPr>
            <a:solidFill>
              <a:schemeClr val="bg1">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c:v>
                </c:pt>
                <c:pt idx="2">
                  <c:v>Category 2</c:v>
                </c:pt>
              </c:strCache>
            </c:strRef>
          </c:cat>
          <c:val>
            <c:numRef>
              <c:f>Sheet1!$C$2:$C$4</c:f>
              <c:numCache>
                <c:formatCode>General</c:formatCode>
                <c:ptCount val="3"/>
                <c:pt idx="2">
                  <c:v>1437</c:v>
                </c:pt>
              </c:numCache>
            </c:numRef>
          </c:val>
          <c:extLst>
            <c:ext xmlns:c16="http://schemas.microsoft.com/office/drawing/2014/chart" uri="{C3380CC4-5D6E-409C-BE32-E72D297353CC}">
              <c16:uniqueId val="{00000003-8332-4DE2-9A13-7972BC1624BE}"/>
            </c:ext>
          </c:extLst>
        </c:ser>
        <c:ser>
          <c:idx val="2"/>
          <c:order val="2"/>
          <c:tx>
            <c:strRef>
              <c:f>Sheet1!$D$1</c:f>
              <c:strCache>
                <c:ptCount val="1"/>
                <c:pt idx="0">
                  <c:v>Completed</c:v>
                </c:pt>
              </c:strCache>
            </c:strRef>
          </c:tx>
          <c:spPr>
            <a:solidFill>
              <a:schemeClr val="accent5">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c:v>
                </c:pt>
                <c:pt idx="2">
                  <c:v>Category 2</c:v>
                </c:pt>
              </c:strCache>
            </c:strRef>
          </c:cat>
          <c:val>
            <c:numRef>
              <c:f>Sheet1!$D$2:$D$4</c:f>
              <c:numCache>
                <c:formatCode>General</c:formatCode>
                <c:ptCount val="3"/>
                <c:pt idx="2">
                  <c:v>677</c:v>
                </c:pt>
              </c:numCache>
            </c:numRef>
          </c:val>
          <c:extLst>
            <c:ext xmlns:c16="http://schemas.microsoft.com/office/drawing/2014/chart" uri="{C3380CC4-5D6E-409C-BE32-E72D297353CC}">
              <c16:uniqueId val="{00000004-8332-4DE2-9A13-7972BC1624BE}"/>
            </c:ext>
          </c:extLst>
        </c:ser>
        <c:ser>
          <c:idx val="3"/>
          <c:order val="3"/>
          <c:tx>
            <c:strRef>
              <c:f>Sheet1!$E$1</c:f>
              <c:strCache>
                <c:ptCount val="1"/>
                <c:pt idx="0">
                  <c:v>In Progress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c:v>
                </c:pt>
                <c:pt idx="2">
                  <c:v>Category 2</c:v>
                </c:pt>
              </c:strCache>
            </c:strRef>
          </c:cat>
          <c:val>
            <c:numRef>
              <c:f>Sheet1!$E$2:$E$4</c:f>
              <c:numCache>
                <c:formatCode>General</c:formatCode>
                <c:ptCount val="3"/>
                <c:pt idx="2">
                  <c:v>753</c:v>
                </c:pt>
              </c:numCache>
            </c:numRef>
          </c:val>
          <c:extLst>
            <c:ext xmlns:c16="http://schemas.microsoft.com/office/drawing/2014/chart" uri="{C3380CC4-5D6E-409C-BE32-E72D297353CC}">
              <c16:uniqueId val="{00000005-8332-4DE2-9A13-7972BC1624BE}"/>
            </c:ext>
          </c:extLst>
        </c:ser>
        <c:ser>
          <c:idx val="4"/>
          <c:order val="4"/>
          <c:tx>
            <c:strRef>
              <c:f>Sheet1!$F$1</c:f>
              <c:strCache>
                <c:ptCount val="1"/>
                <c:pt idx="0">
                  <c:v>Removed</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c:v>
                </c:pt>
                <c:pt idx="2">
                  <c:v>Category 2</c:v>
                </c:pt>
              </c:strCache>
            </c:strRef>
          </c:cat>
          <c:val>
            <c:numRef>
              <c:f>Sheet1!$F$2:$F$4</c:f>
              <c:numCache>
                <c:formatCode>General</c:formatCode>
                <c:ptCount val="3"/>
                <c:pt idx="2">
                  <c:v>189</c:v>
                </c:pt>
              </c:numCache>
            </c:numRef>
          </c:val>
          <c:extLst>
            <c:ext xmlns:c16="http://schemas.microsoft.com/office/drawing/2014/chart" uri="{C3380CC4-5D6E-409C-BE32-E72D297353CC}">
              <c16:uniqueId val="{00000006-8332-4DE2-9A13-7972BC1624BE}"/>
            </c:ext>
          </c:extLst>
        </c:ser>
        <c:dLbls>
          <c:showLegendKey val="0"/>
          <c:showVal val="1"/>
          <c:showCatName val="0"/>
          <c:showSerName val="0"/>
          <c:showPercent val="0"/>
          <c:showBubbleSize val="0"/>
        </c:dLbls>
        <c:gapWidth val="95"/>
        <c:gapDepth val="95"/>
        <c:shape val="box"/>
        <c:axId val="2050931743"/>
        <c:axId val="1953999391"/>
        <c:axId val="0"/>
      </c:bar3DChart>
      <c:catAx>
        <c:axId val="2050931743"/>
        <c:scaling>
          <c:orientation val="minMax"/>
        </c:scaling>
        <c:delete val="1"/>
        <c:axPos val="b"/>
        <c:numFmt formatCode="General" sourceLinked="1"/>
        <c:majorTickMark val="none"/>
        <c:minorTickMark val="none"/>
        <c:tickLblPos val="nextTo"/>
        <c:crossAx val="1953999391"/>
        <c:crosses val="autoZero"/>
        <c:auto val="1"/>
        <c:lblAlgn val="ctr"/>
        <c:lblOffset val="100"/>
        <c:noMultiLvlLbl val="0"/>
      </c:catAx>
      <c:valAx>
        <c:axId val="1953999391"/>
        <c:scaling>
          <c:orientation val="minMax"/>
        </c:scaling>
        <c:delete val="1"/>
        <c:axPos val="l"/>
        <c:numFmt formatCode="0%" sourceLinked="1"/>
        <c:majorTickMark val="none"/>
        <c:minorTickMark val="none"/>
        <c:tickLblPos val="nextTo"/>
        <c:crossAx val="2050931743"/>
        <c:crosses val="autoZero"/>
        <c:crossBetween val="between"/>
      </c:valAx>
      <c:spPr>
        <a:noFill/>
        <a:ln w="25400">
          <a:noFill/>
        </a:ln>
        <a:effectLst/>
      </c:spPr>
    </c:plotArea>
    <c:legend>
      <c:legendPos val="t"/>
      <c:layout>
        <c:manualLayout>
          <c:xMode val="edge"/>
          <c:yMode val="edge"/>
          <c:x val="9.8711072718120185E-2"/>
          <c:y val="0.16207276736493936"/>
          <c:w val="0.80257769919644018"/>
          <c:h val="5.0074442872149245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905544902075304E-2"/>
          <c:y val="0.10436364444913854"/>
          <c:w val="0.9840944550979247"/>
          <c:h val="0.79000058367218751"/>
        </c:manualLayout>
      </c:layout>
      <c:bar3DChart>
        <c:barDir val="col"/>
        <c:grouping val="stacked"/>
        <c:varyColors val="0"/>
        <c:ser>
          <c:idx val="0"/>
          <c:order val="0"/>
          <c:tx>
            <c:strRef>
              <c:f>Sheet1!$C$1</c:f>
              <c:strCache>
                <c:ptCount val="1"/>
                <c:pt idx="0">
                  <c:v>Completed</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LC 1</c:v>
                </c:pt>
                <c:pt idx="1">
                  <c:v>LC 2</c:v>
                </c:pt>
                <c:pt idx="2">
                  <c:v>LC 3</c:v>
                </c:pt>
                <c:pt idx="3">
                  <c:v>LC 4</c:v>
                </c:pt>
              </c:strCache>
            </c:strRef>
          </c:cat>
          <c:val>
            <c:numRef>
              <c:f>Sheet1!$C$2:$C$5</c:f>
              <c:numCache>
                <c:formatCode>General</c:formatCode>
                <c:ptCount val="4"/>
                <c:pt idx="0">
                  <c:v>185</c:v>
                </c:pt>
                <c:pt idx="1">
                  <c:v>171</c:v>
                </c:pt>
                <c:pt idx="2">
                  <c:v>145</c:v>
                </c:pt>
                <c:pt idx="3">
                  <c:v>176</c:v>
                </c:pt>
              </c:numCache>
            </c:numRef>
          </c:val>
          <c:extLst>
            <c:ext xmlns:c16="http://schemas.microsoft.com/office/drawing/2014/chart" uri="{C3380CC4-5D6E-409C-BE32-E72D297353CC}">
              <c16:uniqueId val="{00000000-1521-44A8-A564-A9F0234D9910}"/>
            </c:ext>
          </c:extLst>
        </c:ser>
        <c:ser>
          <c:idx val="1"/>
          <c:order val="1"/>
          <c:tx>
            <c:strRef>
              <c:f>Sheet1!$D$1</c:f>
              <c:strCache>
                <c:ptCount val="1"/>
                <c:pt idx="0">
                  <c:v>In Progress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LC 1</c:v>
                </c:pt>
                <c:pt idx="1">
                  <c:v>LC 2</c:v>
                </c:pt>
                <c:pt idx="2">
                  <c:v>LC 3</c:v>
                </c:pt>
                <c:pt idx="3">
                  <c:v>LC 4</c:v>
                </c:pt>
              </c:strCache>
            </c:strRef>
          </c:cat>
          <c:val>
            <c:numRef>
              <c:f>Sheet1!$D$2:$D$5</c:f>
              <c:numCache>
                <c:formatCode>General</c:formatCode>
                <c:ptCount val="4"/>
                <c:pt idx="0">
                  <c:v>152</c:v>
                </c:pt>
                <c:pt idx="1">
                  <c:v>174</c:v>
                </c:pt>
                <c:pt idx="2">
                  <c:v>205</c:v>
                </c:pt>
                <c:pt idx="3">
                  <c:v>222</c:v>
                </c:pt>
              </c:numCache>
            </c:numRef>
          </c:val>
          <c:extLst>
            <c:ext xmlns:c16="http://schemas.microsoft.com/office/drawing/2014/chart" uri="{C3380CC4-5D6E-409C-BE32-E72D297353CC}">
              <c16:uniqueId val="{00000001-1521-44A8-A564-A9F0234D9910}"/>
            </c:ext>
          </c:extLst>
        </c:ser>
        <c:ser>
          <c:idx val="2"/>
          <c:order val="2"/>
          <c:tx>
            <c:strRef>
              <c:f>Sheet1!$E$1</c:f>
              <c:strCache>
                <c:ptCount val="1"/>
                <c:pt idx="0">
                  <c:v>Waiting</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LC 1</c:v>
                </c:pt>
                <c:pt idx="1">
                  <c:v>LC 2</c:v>
                </c:pt>
                <c:pt idx="2">
                  <c:v>LC 3</c:v>
                </c:pt>
                <c:pt idx="3">
                  <c:v>LC 4</c:v>
                </c:pt>
              </c:strCache>
            </c:strRef>
          </c:cat>
          <c:val>
            <c:numRef>
              <c:f>Sheet1!$E$2:$E$5</c:f>
              <c:numCache>
                <c:formatCode>General</c:formatCode>
                <c:ptCount val="4"/>
                <c:pt idx="0">
                  <c:v>329</c:v>
                </c:pt>
                <c:pt idx="1">
                  <c:v>304</c:v>
                </c:pt>
                <c:pt idx="2">
                  <c:v>256</c:v>
                </c:pt>
                <c:pt idx="3">
                  <c:v>548</c:v>
                </c:pt>
              </c:numCache>
            </c:numRef>
          </c:val>
          <c:extLst>
            <c:ext xmlns:c16="http://schemas.microsoft.com/office/drawing/2014/chart" uri="{C3380CC4-5D6E-409C-BE32-E72D297353CC}">
              <c16:uniqueId val="{00000002-1521-44A8-A564-A9F0234D9910}"/>
            </c:ext>
          </c:extLst>
        </c:ser>
        <c:ser>
          <c:idx val="3"/>
          <c:order val="3"/>
          <c:tx>
            <c:strRef>
              <c:f>Sheet1!$F$1</c:f>
              <c:strCache>
                <c:ptCount val="1"/>
                <c:pt idx="0">
                  <c:v>Removed</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LC 1</c:v>
                </c:pt>
                <c:pt idx="1">
                  <c:v>LC 2</c:v>
                </c:pt>
                <c:pt idx="2">
                  <c:v>LC 3</c:v>
                </c:pt>
                <c:pt idx="3">
                  <c:v>LC 4</c:v>
                </c:pt>
              </c:strCache>
            </c:strRef>
          </c:cat>
          <c:val>
            <c:numRef>
              <c:f>Sheet1!$F$2:$F$5</c:f>
              <c:numCache>
                <c:formatCode>General</c:formatCode>
                <c:ptCount val="4"/>
                <c:pt idx="0">
                  <c:v>30</c:v>
                </c:pt>
                <c:pt idx="1">
                  <c:v>43</c:v>
                </c:pt>
                <c:pt idx="2">
                  <c:v>45</c:v>
                </c:pt>
                <c:pt idx="3">
                  <c:v>71</c:v>
                </c:pt>
              </c:numCache>
            </c:numRef>
          </c:val>
          <c:extLst>
            <c:ext xmlns:c16="http://schemas.microsoft.com/office/drawing/2014/chart" uri="{C3380CC4-5D6E-409C-BE32-E72D297353CC}">
              <c16:uniqueId val="{00000003-1521-44A8-A564-A9F0234D9910}"/>
            </c:ext>
          </c:extLst>
        </c:ser>
        <c:dLbls>
          <c:showLegendKey val="0"/>
          <c:showVal val="1"/>
          <c:showCatName val="0"/>
          <c:showSerName val="0"/>
          <c:showPercent val="0"/>
          <c:showBubbleSize val="0"/>
        </c:dLbls>
        <c:gapWidth val="79"/>
        <c:shape val="box"/>
        <c:axId val="736502080"/>
        <c:axId val="407133343"/>
        <c:axId val="0"/>
      </c:bar3DChart>
      <c:catAx>
        <c:axId val="736502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cap="all" spc="120" normalizeH="0" baseline="0">
                <a:solidFill>
                  <a:sysClr val="windowText" lastClr="000000"/>
                </a:solidFill>
                <a:latin typeface="+mn-lt"/>
                <a:ea typeface="+mn-ea"/>
                <a:cs typeface="+mn-cs"/>
              </a:defRPr>
            </a:pPr>
            <a:endParaRPr lang="en-US"/>
          </a:p>
        </c:txPr>
        <c:crossAx val="407133343"/>
        <c:crosses val="autoZero"/>
        <c:auto val="1"/>
        <c:lblAlgn val="ctr"/>
        <c:lblOffset val="100"/>
        <c:noMultiLvlLbl val="0"/>
      </c:catAx>
      <c:valAx>
        <c:axId val="407133343"/>
        <c:scaling>
          <c:orientation val="minMax"/>
        </c:scaling>
        <c:delete val="1"/>
        <c:axPos val="l"/>
        <c:numFmt formatCode="General" sourceLinked="1"/>
        <c:majorTickMark val="none"/>
        <c:minorTickMark val="none"/>
        <c:tickLblPos val="nextTo"/>
        <c:crossAx val="736502080"/>
        <c:crosses val="autoZero"/>
        <c:crossBetween val="between"/>
      </c:valAx>
      <c:spPr>
        <a:noFill/>
        <a:ln>
          <a:noFill/>
        </a:ln>
        <a:effectLst/>
      </c:spPr>
    </c:plotArea>
    <c:legend>
      <c:legendPos val="t"/>
      <c:layout>
        <c:manualLayout>
          <c:xMode val="edge"/>
          <c:yMode val="edge"/>
          <c:x val="4.7436022587951882E-4"/>
          <c:y val="1.7649135192375574E-2"/>
          <c:w val="0.57459219415181839"/>
          <c:h val="6.8110375190040873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LC1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8AE-4EE0-98D8-33A8E674D2D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8AE-4EE0-98D8-33A8E674D2D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8AE-4EE0-98D8-33A8E674D2D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8AE-4EE0-98D8-33A8E674D2DF}"/>
              </c:ext>
            </c:extLst>
          </c:dPt>
          <c:dLbls>
            <c:dLbl>
              <c:idx val="0"/>
              <c:layout>
                <c:manualLayout>
                  <c:x val="-0.20055686659345615"/>
                  <c:y val="-0.2098668916385453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AE-4EE0-98D8-33A8E674D2D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Comprehensive</c:v>
                </c:pt>
                <c:pt idx="1">
                  <c:v>DK</c:v>
                </c:pt>
                <c:pt idx="2">
                  <c:v>Gifted</c:v>
                </c:pt>
              </c:strCache>
            </c:strRef>
          </c:cat>
          <c:val>
            <c:numRef>
              <c:f>Sheet1!$B$2:$B$5</c:f>
              <c:numCache>
                <c:formatCode>General</c:formatCode>
                <c:ptCount val="4"/>
                <c:pt idx="0">
                  <c:v>197</c:v>
                </c:pt>
                <c:pt idx="1">
                  <c:v>32</c:v>
                </c:pt>
                <c:pt idx="2">
                  <c:v>100</c:v>
                </c:pt>
              </c:numCache>
            </c:numRef>
          </c:val>
          <c:extLst>
            <c:ext xmlns:c16="http://schemas.microsoft.com/office/drawing/2014/chart" uri="{C3380CC4-5D6E-409C-BE32-E72D297353CC}">
              <c16:uniqueId val="{00000008-B8AE-4EE0-98D8-33A8E674D2D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LC2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21E-44D1-841A-BF5EEDAD6BC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21E-44D1-841A-BF5EEDAD6BC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21E-44D1-841A-BF5EEDAD6BC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21E-44D1-841A-BF5EEDAD6BCC}"/>
              </c:ext>
            </c:extLst>
          </c:dPt>
          <c:dLbls>
            <c:dLbl>
              <c:idx val="0"/>
              <c:layout>
                <c:manualLayout>
                  <c:x val="-0.29471989220931943"/>
                  <c:y val="-0.1344738157730283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1E-44D1-841A-BF5EEDAD6BC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Comprehensive</c:v>
                </c:pt>
                <c:pt idx="1">
                  <c:v>DK</c:v>
                </c:pt>
                <c:pt idx="2">
                  <c:v>Gifted</c:v>
                </c:pt>
              </c:strCache>
            </c:strRef>
          </c:cat>
          <c:val>
            <c:numRef>
              <c:f>Sheet1!$B$2:$B$5</c:f>
              <c:numCache>
                <c:formatCode>General</c:formatCode>
                <c:ptCount val="4"/>
                <c:pt idx="0">
                  <c:v>126</c:v>
                </c:pt>
                <c:pt idx="1">
                  <c:v>6</c:v>
                </c:pt>
                <c:pt idx="2">
                  <c:v>172</c:v>
                </c:pt>
              </c:numCache>
            </c:numRef>
          </c:val>
          <c:extLst>
            <c:ext xmlns:c16="http://schemas.microsoft.com/office/drawing/2014/chart" uri="{C3380CC4-5D6E-409C-BE32-E72D297353CC}">
              <c16:uniqueId val="{00000008-321E-44D1-841A-BF5EEDAD6BC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LC3</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0F8-4425-8850-071412E968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0F8-4425-8850-071412E9680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0F8-4425-8850-071412E9680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0F8-4425-8850-071412E9680A}"/>
              </c:ext>
            </c:extLst>
          </c:dPt>
          <c:dLbls>
            <c:dLbl>
              <c:idx val="0"/>
              <c:layout>
                <c:manualLayout>
                  <c:x val="-0.14650303355997424"/>
                  <c:y val="-0.1895563054618172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F8-4425-8850-071412E968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Comprehensive</c:v>
                </c:pt>
                <c:pt idx="1">
                  <c:v>DK</c:v>
                </c:pt>
                <c:pt idx="2">
                  <c:v>Gifted</c:v>
                </c:pt>
              </c:strCache>
            </c:strRef>
          </c:cat>
          <c:val>
            <c:numRef>
              <c:f>Sheet1!$B$2:$B$5</c:f>
              <c:numCache>
                <c:formatCode>General</c:formatCode>
                <c:ptCount val="4"/>
                <c:pt idx="0">
                  <c:v>182</c:v>
                </c:pt>
                <c:pt idx="1">
                  <c:v>27</c:v>
                </c:pt>
                <c:pt idx="2">
                  <c:v>90</c:v>
                </c:pt>
              </c:numCache>
            </c:numRef>
          </c:val>
          <c:extLst>
            <c:ext xmlns:c16="http://schemas.microsoft.com/office/drawing/2014/chart" uri="{C3380CC4-5D6E-409C-BE32-E72D297353CC}">
              <c16:uniqueId val="{00000008-30F8-4425-8850-071412E968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LC4</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945-4F9F-A216-6B0D84E56DD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945-4F9F-A216-6B0D84E56DD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945-4F9F-A216-6B0D84E56DD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945-4F9F-A216-6B0D84E56DD2}"/>
              </c:ext>
            </c:extLst>
          </c:dPt>
          <c:dLbls>
            <c:dLbl>
              <c:idx val="0"/>
              <c:layout>
                <c:manualLayout>
                  <c:x val="-0.27185136724378306"/>
                  <c:y val="-0.123093050868641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45-4F9F-A216-6B0D84E56DD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Comprehensive</c:v>
                </c:pt>
                <c:pt idx="1">
                  <c:v>DK</c:v>
                </c:pt>
                <c:pt idx="2">
                  <c:v>Gifted</c:v>
                </c:pt>
              </c:strCache>
            </c:strRef>
          </c:cat>
          <c:val>
            <c:numRef>
              <c:f>Sheet1!$B$2:$B$5</c:f>
              <c:numCache>
                <c:formatCode>General</c:formatCode>
                <c:ptCount val="4"/>
                <c:pt idx="0">
                  <c:v>319</c:v>
                </c:pt>
                <c:pt idx="1">
                  <c:v>15</c:v>
                </c:pt>
                <c:pt idx="2">
                  <c:v>46</c:v>
                </c:pt>
              </c:numCache>
            </c:numRef>
          </c:val>
          <c:extLst>
            <c:ext xmlns:c16="http://schemas.microsoft.com/office/drawing/2014/chart" uri="{C3380CC4-5D6E-409C-BE32-E72D297353CC}">
              <c16:uniqueId val="{00000008-8945-4F9F-A216-6B0D84E56DD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Waitlist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B6-4396-B14A-00E6DC57A4C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B6-4396-B14A-00E6DC57A4C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B6-4396-B14A-00E6DC57A4C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2B6-4396-B14A-00E6DC57A4C9}"/>
              </c:ext>
            </c:extLst>
          </c:dPt>
          <c:dLbls>
            <c:dLbl>
              <c:idx val="0"/>
              <c:layout>
                <c:manualLayout>
                  <c:x val="-0.23906296976368013"/>
                  <c:y val="-0.1281005571977920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B6-4396-B14A-00E6DC57A4C9}"/>
                </c:ext>
              </c:extLst>
            </c:dLbl>
            <c:dLbl>
              <c:idx val="1"/>
              <c:layout>
                <c:manualLayout>
                  <c:x val="-0.22572178477690288"/>
                  <c:y val="-8.3998221152588488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2B6-4396-B14A-00E6DC57A4C9}"/>
                </c:ext>
              </c:extLst>
            </c:dLbl>
            <c:dLbl>
              <c:idx val="2"/>
              <c:layout>
                <c:manualLayout>
                  <c:x val="-8.0835919492392286E-2"/>
                  <c:y val="3.48743035027598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2B6-4396-B14A-00E6DC57A4C9}"/>
                </c:ext>
              </c:extLst>
            </c:dLbl>
            <c:dLbl>
              <c:idx val="3"/>
              <c:layout>
                <c:manualLayout>
                  <c:x val="-0.12204931467820231"/>
                  <c:y val="1.777801030685117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2B6-4396-B14A-00E6DC57A4C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0-3 Months</c:v>
                </c:pt>
                <c:pt idx="1">
                  <c:v>4-6 Months</c:v>
                </c:pt>
                <c:pt idx="2">
                  <c:v>7-9 Months</c:v>
                </c:pt>
                <c:pt idx="3">
                  <c:v>10+ Months</c:v>
                </c:pt>
              </c:strCache>
            </c:strRef>
          </c:cat>
          <c:val>
            <c:numRef>
              <c:f>Sheet1!$B$2:$B$5</c:f>
              <c:numCache>
                <c:formatCode>General</c:formatCode>
                <c:ptCount val="4"/>
                <c:pt idx="0">
                  <c:v>639</c:v>
                </c:pt>
                <c:pt idx="1">
                  <c:v>55</c:v>
                </c:pt>
                <c:pt idx="2">
                  <c:v>125</c:v>
                </c:pt>
                <c:pt idx="3">
                  <c:v>85</c:v>
                </c:pt>
              </c:numCache>
            </c:numRef>
          </c:val>
          <c:extLst>
            <c:ext xmlns:c16="http://schemas.microsoft.com/office/drawing/2014/chart" uri="{C3380CC4-5D6E-409C-BE32-E72D297353CC}">
              <c16:uniqueId val="{00000008-62B6-4396-B14A-00E6DC57A4C9}"/>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Gifted Assessments 'Aged' Waitlist Referrals</a:t>
            </a:r>
          </a:p>
          <a:p>
            <a:pPr>
              <a:defRPr b="1">
                <a:solidFill>
                  <a:sysClr val="windowText" lastClr="000000"/>
                </a:solidFill>
              </a:defRPr>
            </a:pPr>
            <a:r>
              <a:rPr lang="en-US" b="1">
                <a:solidFill>
                  <a:sysClr val="windowText" lastClr="000000"/>
                </a:solidFill>
              </a:rPr>
              <a:t>Sept.</a:t>
            </a:r>
            <a:r>
              <a:rPr lang="en-US" b="1" baseline="0">
                <a:solidFill>
                  <a:sysClr val="windowText" lastClr="000000"/>
                </a:solidFill>
              </a:rPr>
              <a:t> </a:t>
            </a:r>
            <a:r>
              <a:rPr lang="en-US" b="1">
                <a:solidFill>
                  <a:sysClr val="windowText" lastClr="000000"/>
                </a:solidFill>
              </a:rPr>
              <a:t>2022</a:t>
            </a:r>
          </a:p>
        </c:rich>
      </c:tx>
      <c:layout>
        <c:manualLayout>
          <c:xMode val="edge"/>
          <c:yMode val="edge"/>
          <c:x val="1.7984202053982622E-3"/>
          <c:y val="6.7791117576485418E-4"/>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3495781777277841"/>
          <c:w val="0.83101857460125172"/>
          <c:h val="0.70027676408810224"/>
        </c:manualLayout>
      </c:layout>
      <c:pie3DChart>
        <c:varyColors val="1"/>
        <c:ser>
          <c:idx val="0"/>
          <c:order val="0"/>
          <c:tx>
            <c:strRef>
              <c:f>Sheet1!$B$1</c:f>
              <c:strCache>
                <c:ptCount val="1"/>
                <c:pt idx="0">
                  <c:v>Gifted Assessments 'Aged' Waitlist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16-4A02-9340-55AC762128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16-4A02-9340-55AC7621286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16-4A02-9340-55AC7621286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16-4A02-9340-55AC7621286A}"/>
              </c:ext>
            </c:extLst>
          </c:dPt>
          <c:dLbls>
            <c:dLbl>
              <c:idx val="0"/>
              <c:layout>
                <c:manualLayout>
                  <c:x val="-6.5938413799701348E-2"/>
                  <c:y val="-0.2805570547440081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C16-4A02-9340-55AC7621286A}"/>
                </c:ext>
              </c:extLst>
            </c:dLbl>
            <c:dLbl>
              <c:idx val="1"/>
              <c:layout>
                <c:manualLayout>
                  <c:x val="0.27670747178789651"/>
                  <c:y val="-8.30547225627663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16-4A02-9340-55AC7621286A}"/>
                </c:ext>
              </c:extLst>
            </c:dLbl>
            <c:dLbl>
              <c:idx val="2"/>
              <c:layout>
                <c:manualLayout>
                  <c:x val="-0.33341236465885504"/>
                  <c:y val="3.28461665850552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16-4A02-9340-55AC7621286A}"/>
                </c:ext>
              </c:extLst>
            </c:dLbl>
            <c:dLbl>
              <c:idx val="3"/>
              <c:layout>
                <c:manualLayout>
                  <c:x val="0.32371114466476159"/>
                  <c:y val="4.94026875782606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16-4A02-9340-55AC7621286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0-3 Months</c:v>
                </c:pt>
                <c:pt idx="1">
                  <c:v>4-6 Months</c:v>
                </c:pt>
                <c:pt idx="2">
                  <c:v>7-9 Months</c:v>
                </c:pt>
                <c:pt idx="3">
                  <c:v>10+ Months</c:v>
                </c:pt>
              </c:strCache>
            </c:strRef>
          </c:cat>
          <c:val>
            <c:numRef>
              <c:f>Sheet1!$B$2:$B$5</c:f>
              <c:numCache>
                <c:formatCode>General</c:formatCode>
                <c:ptCount val="4"/>
                <c:pt idx="0">
                  <c:v>537</c:v>
                </c:pt>
                <c:pt idx="1">
                  <c:v>6</c:v>
                </c:pt>
                <c:pt idx="2">
                  <c:v>0</c:v>
                </c:pt>
                <c:pt idx="3">
                  <c:v>0</c:v>
                </c:pt>
              </c:numCache>
            </c:numRef>
          </c:val>
          <c:extLst>
            <c:ext xmlns:c16="http://schemas.microsoft.com/office/drawing/2014/chart" uri="{C3380CC4-5D6E-409C-BE32-E72D297353CC}">
              <c16:uniqueId val="{00000008-8C16-4A02-9340-55AC7621286A}"/>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0.69626</cdr:x>
      <cdr:y>0.67274</cdr:y>
    </cdr:from>
    <cdr:to>
      <cdr:x>0.97666</cdr:x>
      <cdr:y>0.84075</cdr:y>
    </cdr:to>
    <cdr:sp macro="" textlink="">
      <cdr:nvSpPr>
        <cdr:cNvPr id="2" name="Oval 1"/>
        <cdr:cNvSpPr/>
      </cdr:nvSpPr>
      <cdr:spPr>
        <a:xfrm xmlns:a="http://schemas.openxmlformats.org/drawingml/2006/main">
          <a:off x="4138299" y="2862165"/>
          <a:ext cx="1666600" cy="714799"/>
        </a:xfrm>
        <a:prstGeom xmlns:a="http://schemas.openxmlformats.org/drawingml/2006/main" prst="ellipse">
          <a:avLst/>
        </a:prstGeom>
        <a:ln xmlns:a="http://schemas.openxmlformats.org/drawingml/2006/main">
          <a:solidFill>
            <a:schemeClr val="accent6">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1200" b="1">
              <a:solidFill>
                <a:schemeClr val="bg1"/>
              </a:solidFill>
            </a:rPr>
            <a:t>GIFTED:</a:t>
          </a:r>
          <a:r>
            <a:rPr lang="en-US" sz="1200" b="1" baseline="0">
              <a:solidFill>
                <a:schemeClr val="bg1"/>
              </a:solidFill>
            </a:rPr>
            <a:t> 533</a:t>
          </a:r>
        </a:p>
        <a:p xmlns:a="http://schemas.openxmlformats.org/drawingml/2006/main">
          <a:pPr algn="ctr"/>
          <a:r>
            <a:rPr lang="en-US" sz="1200" b="1" baseline="0">
              <a:solidFill>
                <a:schemeClr val="bg1"/>
              </a:solidFill>
            </a:rPr>
            <a:t>COMP.: 824</a:t>
          </a:r>
        </a:p>
        <a:p xmlns:a="http://schemas.openxmlformats.org/drawingml/2006/main">
          <a:pPr algn="ctr"/>
          <a:r>
            <a:rPr lang="en-US" sz="1200" b="1" baseline="0">
              <a:solidFill>
                <a:schemeClr val="bg1"/>
              </a:solidFill>
            </a:rPr>
            <a:t>DK: 80</a:t>
          </a:r>
          <a:endParaRPr lang="en-US" sz="1200" b="1">
            <a:solidFill>
              <a:schemeClr val="bg1"/>
            </a:solidFill>
          </a:endParaRPr>
        </a:p>
      </cdr:txBody>
    </cdr:sp>
  </cdr:relSizeAnchor>
  <cdr:relSizeAnchor xmlns:cdr="http://schemas.openxmlformats.org/drawingml/2006/chartDrawing">
    <cdr:from>
      <cdr:x>0.64744</cdr:x>
      <cdr:y>0.58657</cdr:y>
    </cdr:from>
    <cdr:to>
      <cdr:x>0.66026</cdr:x>
      <cdr:y>0.87314</cdr:y>
    </cdr:to>
    <cdr:sp macro="" textlink="">
      <cdr:nvSpPr>
        <cdr:cNvPr id="3" name="Right Brace 2"/>
        <cdr:cNvSpPr/>
      </cdr:nvSpPr>
      <cdr:spPr>
        <a:xfrm xmlns:a="http://schemas.openxmlformats.org/drawingml/2006/main">
          <a:off x="3848125" y="2495551"/>
          <a:ext cx="76176" cy="1219224"/>
        </a:xfrm>
        <a:prstGeom xmlns:a="http://schemas.openxmlformats.org/drawingml/2006/main" prst="rightBrace">
          <a:avLst/>
        </a:prstGeom>
        <a:ln xmlns:a="http://schemas.openxmlformats.org/drawingml/2006/main" w="412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0.72994</cdr:x>
      <cdr:y>0.0528</cdr:y>
    </cdr:from>
    <cdr:to>
      <cdr:x>0.90639</cdr:x>
      <cdr:y>0.14948</cdr:y>
    </cdr:to>
    <cdr:sp macro="" textlink="">
      <cdr:nvSpPr>
        <cdr:cNvPr id="2" name="Text Box 1"/>
        <cdr:cNvSpPr txBox="1"/>
      </cdr:nvSpPr>
      <cdr:spPr>
        <a:xfrm xmlns:a="http://schemas.openxmlformats.org/drawingml/2006/main">
          <a:off x="4338464" y="186768"/>
          <a:ext cx="1048784" cy="342041"/>
        </a:xfrm>
        <a:prstGeom xmlns:a="http://schemas.openxmlformats.org/drawingml/2006/main" prst="rect">
          <a:avLst/>
        </a:prstGeom>
        <a:ln xmlns:a="http://schemas.openxmlformats.org/drawingml/2006/main">
          <a:solidFill>
            <a:prstClr val="black"/>
          </a:solidFill>
        </a:ln>
      </cdr:spPr>
      <cdr:txBody>
        <a:bodyPr xmlns:a="http://schemas.openxmlformats.org/drawingml/2006/main" vertOverflow="clip" wrap="square" rtlCol="0"/>
        <a:lstStyle xmlns:a="http://schemas.openxmlformats.org/drawingml/2006/main"/>
        <a:p xmlns:a="http://schemas.openxmlformats.org/drawingml/2006/main">
          <a:pPr algn="ctr"/>
          <a:r>
            <a:rPr lang="en-CA" sz="700" b="1">
              <a:latin typeface="Arial" panose="020B0604020202020204" pitchFamily="34" charset="0"/>
              <a:cs typeface="Arial" panose="020B0604020202020204" pitchFamily="34" charset="0"/>
            </a:rPr>
            <a:t>Total Referrals</a:t>
          </a:r>
          <a:r>
            <a:rPr lang="en-CA" sz="700" b="1" baseline="0">
              <a:latin typeface="Arial" panose="020B0604020202020204" pitchFamily="34" charset="0"/>
              <a:cs typeface="Arial" panose="020B0604020202020204" pitchFamily="34" charset="0"/>
            </a:rPr>
            <a:t> </a:t>
          </a:r>
        </a:p>
        <a:p xmlns:a="http://schemas.openxmlformats.org/drawingml/2006/main">
          <a:pPr algn="ctr"/>
          <a:r>
            <a:rPr lang="en-CA" sz="700" b="1">
              <a:latin typeface="Arial" panose="020B0604020202020204" pitchFamily="34" charset="0"/>
              <a:cs typeface="Arial" panose="020B0604020202020204" pitchFamily="34" charset="0"/>
            </a:rPr>
            <a:t>1017</a:t>
          </a:r>
          <a:endParaRPr lang="en-CA"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0.3388</cdr:x>
      <cdr:y>0.1549</cdr:y>
    </cdr:from>
    <cdr:to>
      <cdr:x>0.48769</cdr:x>
      <cdr:y>0.2559</cdr:y>
    </cdr:to>
    <cdr:sp macro="" textlink="">
      <cdr:nvSpPr>
        <cdr:cNvPr id="3" name="Text Box 2"/>
        <cdr:cNvSpPr txBox="1"/>
      </cdr:nvSpPr>
      <cdr:spPr>
        <a:xfrm xmlns:a="http://schemas.openxmlformats.org/drawingml/2006/main">
          <a:off x="2013669" y="547956"/>
          <a:ext cx="884979" cy="357300"/>
        </a:xfrm>
        <a:prstGeom xmlns:a="http://schemas.openxmlformats.org/drawingml/2006/main" prst="rect">
          <a:avLst/>
        </a:prstGeom>
        <a:ln xmlns:a="http://schemas.openxmlformats.org/drawingml/2006/main">
          <a:solidFill>
            <a:prstClr val="black"/>
          </a:solidFill>
        </a:ln>
      </cdr:spPr>
      <cdr:txBody>
        <a:bodyPr xmlns:a="http://schemas.openxmlformats.org/drawingml/2006/main" vertOverflow="clip" wrap="square" rtlCol="0"/>
        <a:lstStyle xmlns:a="http://schemas.openxmlformats.org/drawingml/2006/main"/>
        <a:p xmlns:a="http://schemas.openxmlformats.org/drawingml/2006/main">
          <a:pPr algn="ctr"/>
          <a:r>
            <a:rPr lang="en-CA" sz="700" b="1">
              <a:latin typeface="Arial" panose="020B0604020202020204" pitchFamily="34" charset="0"/>
              <a:cs typeface="Arial" panose="020B0604020202020204" pitchFamily="34" charset="0"/>
            </a:rPr>
            <a:t>Total</a:t>
          </a:r>
          <a:r>
            <a:rPr lang="en-CA" sz="700" b="1" baseline="0">
              <a:latin typeface="Arial" panose="020B0604020202020204" pitchFamily="34" charset="0"/>
              <a:cs typeface="Arial" panose="020B0604020202020204" pitchFamily="34" charset="0"/>
            </a:rPr>
            <a:t> Referrals</a:t>
          </a:r>
        </a:p>
        <a:p xmlns:a="http://schemas.openxmlformats.org/drawingml/2006/main">
          <a:pPr algn="ctr"/>
          <a:r>
            <a:rPr lang="en-CA" sz="700" b="1" baseline="0">
              <a:latin typeface="Arial" panose="020B0604020202020204" pitchFamily="34" charset="0"/>
              <a:cs typeface="Arial" panose="020B0604020202020204" pitchFamily="34" charset="0"/>
            </a:rPr>
            <a:t>692</a:t>
          </a:r>
          <a:endParaRPr lang="en-CA" sz="800" b="1">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FWZaoj6JUow8ZhbjrUIpfjWT7Q==">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</go:docsCustomData>
</go:gDocsCustomXmlDataStorage>
</file>

<file path=customXml/itemProps1.xml><?xml version="1.0" encoding="utf-8"?>
<ds:datastoreItem xmlns:ds="http://schemas.openxmlformats.org/officeDocument/2006/customXml" ds:itemID="{ED790708-C4EE-4BCC-953D-2853E7FB2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Nardi-Addesa, Angela</dc:creator>
  <cp:lastModifiedBy>Dixon, Lianne</cp:lastModifiedBy>
  <cp:revision>2</cp:revision>
  <dcterms:created xsi:type="dcterms:W3CDTF">2023-01-11T22:48:00Z</dcterms:created>
  <dcterms:modified xsi:type="dcterms:W3CDTF">2023-01-11T22:48:00Z</dcterms:modified>
</cp:coreProperties>
</file>