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4ACDE9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19D4F95F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296F9E">
        <w:rPr>
          <w:rFonts w:ascii="Arial" w:hAnsi="Arial" w:cs="Arial"/>
          <w:szCs w:val="24"/>
          <w:lang w:val="en-CA"/>
        </w:rPr>
        <w:t>Sep 13</w:t>
      </w:r>
      <w:r w:rsidR="00B7502B">
        <w:rPr>
          <w:rFonts w:ascii="Arial" w:hAnsi="Arial" w:cs="Arial"/>
          <w:szCs w:val="24"/>
          <w:lang w:val="en-CA"/>
        </w:rPr>
        <w:t>, 2022</w:t>
      </w:r>
    </w:p>
    <w:p w14:paraId="159F1EAD" w14:textId="77777777" w:rsidR="00F4291D" w:rsidRPr="00D37013" w:rsidRDefault="00F4291D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0B7F90" w:rsidRPr="00D37013">
        <w:rPr>
          <w:rFonts w:ascii="Arial" w:hAnsi="Arial" w:cs="Arial"/>
          <w:szCs w:val="24"/>
        </w:rPr>
        <w:t xml:space="preserve">Virtual </w:t>
      </w:r>
      <w:r w:rsidRPr="00D37013">
        <w:rPr>
          <w:rFonts w:ascii="Arial" w:hAnsi="Arial" w:cs="Arial"/>
          <w:szCs w:val="24"/>
        </w:rPr>
        <w:t>Meeting</w:t>
      </w:r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5B9" w14:textId="77777777" w:rsidR="00960081" w:rsidRPr="00D37013" w:rsidRDefault="00960081" w:rsidP="00B7502B">
            <w:pPr>
              <w:widowControl w:val="0"/>
              <w:spacing w:after="240"/>
              <w:ind w:right="49"/>
              <w:rPr>
                <w:rFonts w:ascii="Arial" w:eastAsia="Times New Roman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Quorum </w:t>
            </w:r>
          </w:p>
          <w:p w14:paraId="5969D80A" w14:textId="3C43CE0E" w:rsidR="00960081" w:rsidRPr="00EE7EFD" w:rsidRDefault="00960081" w:rsidP="00296F9E">
            <w:pPr>
              <w:widowControl w:val="0"/>
              <w:numPr>
                <w:ilvl w:val="0"/>
                <w:numId w:val="6"/>
              </w:numPr>
              <w:spacing w:after="240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Membership </w:t>
            </w:r>
            <w:r w:rsidR="00296F9E">
              <w:rPr>
                <w:rFonts w:ascii="Arial" w:eastAsia="Times New Roman" w:hAnsi="Arial" w:cs="Arial"/>
                <w:szCs w:val="24"/>
              </w:rPr>
              <w:t>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4B105DB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296F9E">
              <w:rPr>
                <w:rFonts w:ascii="Arial" w:eastAsia="Times New Roman" w:hAnsi="Arial" w:cs="Arial"/>
                <w:szCs w:val="24"/>
              </w:rPr>
              <w:t>June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E7E11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6A9DE6E5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D848" w14:textId="6B8E3BE8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5BEC98D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5F25758D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>
              <w:rPr>
                <w:rFonts w:ascii="Arial" w:eastAsia="Calibri" w:hAnsi="Arial" w:cs="Arial"/>
                <w:b/>
                <w:szCs w:val="24"/>
              </w:rPr>
              <w:t>4</w:t>
            </w:r>
            <w:r w:rsidR="00154B91">
              <w:rPr>
                <w:rFonts w:ascii="Arial" w:eastAsia="Calibri" w:hAnsi="Arial" w:cs="Arial"/>
                <w:b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018D6" w14:paraId="4A6883F6" w14:textId="77777777" w:rsidTr="008018D6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0F2" w14:textId="116EEB63" w:rsidR="008018D6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5223" w14:textId="5E2FE34E" w:rsidR="008018D6" w:rsidRDefault="008018D6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Cs w:val="24"/>
              </w:rPr>
              <w:t xml:space="preserve">Report </w:t>
            </w:r>
            <w:r>
              <w:rPr>
                <w:rFonts w:ascii="Arial" w:eastAsia="Calibri" w:hAnsi="Arial" w:cs="Arial"/>
                <w:szCs w:val="24"/>
              </w:rPr>
              <w:t>- Member Reflection/</w:t>
            </w: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AD5" w14:textId="2559CFF9" w:rsidR="008018D6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896F" w14:textId="7B7E374D" w:rsidR="008018D6" w:rsidRDefault="008018D6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8CF" w14:textId="77777777" w:rsidR="008018D6" w:rsidRDefault="008018D6" w:rsidP="006E7E11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6E7E11" w14:paraId="284890AA" w14:textId="77777777" w:rsidTr="006E7E11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44872898" w:rsidR="006E7E11" w:rsidRPr="00D37013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</w:t>
            </w:r>
            <w:r w:rsidR="006E7E1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A418B4" w14:textId="74E26DC6" w:rsidR="006E7E11" w:rsidRDefault="006E7E11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French Review</w:t>
            </w:r>
          </w:p>
          <w:p w14:paraId="2D9A28F6" w14:textId="28CC79AD" w:rsidR="008018D6" w:rsidRDefault="008018D6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Feedback on JK/SK – new locations</w:t>
            </w:r>
          </w:p>
          <w:p w14:paraId="5FF98EE1" w14:textId="27B2BE63" w:rsidR="006E7E11" w:rsidRPr="00296F9E" w:rsidRDefault="006E7E11" w:rsidP="00296F9E">
            <w:pPr>
              <w:widowControl w:val="0"/>
              <w:spacing w:line="276" w:lineRule="auto"/>
              <w:ind w:left="360" w:right="-20"/>
              <w:rPr>
                <w:rFonts w:ascii="Arial" w:hAnsi="Arial" w:cs="Arial"/>
                <w:color w:val="000000"/>
                <w:szCs w:val="24"/>
              </w:rPr>
            </w:pPr>
            <w:r w:rsidRPr="00296F9E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3CD8FAC2" w:rsidR="006E7E11" w:rsidRPr="00D37013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02046972" w:rsidR="006E7E11" w:rsidRPr="00D37013" w:rsidRDefault="006E7E11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</w:t>
            </w:r>
            <w:r w:rsidR="00482FB2">
              <w:rPr>
                <w:rFonts w:ascii="Arial" w:eastAsia="Calibri" w:hAnsi="Arial" w:cs="Arial"/>
                <w:b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0100D1C6" w:rsidR="006E7E11" w:rsidRPr="000508CF" w:rsidRDefault="006E7E11" w:rsidP="006E7E11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Standing Item</w:t>
            </w:r>
          </w:p>
        </w:tc>
      </w:tr>
      <w:tr w:rsidR="00296F9E" w14:paraId="3D1AF8F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F4EFA" w14:textId="31DA3B9C" w:rsidR="00296F9E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</w:t>
            </w:r>
            <w:r w:rsidR="00296F9E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0493" w14:textId="1DD043BB" w:rsidR="00296F9E" w:rsidRDefault="00296F9E" w:rsidP="00296F9E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Staff Update</w:t>
            </w:r>
          </w:p>
          <w:p w14:paraId="5DDBED34" w14:textId="77777777" w:rsidR="00296F9E" w:rsidRPr="00296F9E" w:rsidRDefault="00296F9E" w:rsidP="00296F9E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ind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F9E">
              <w:rPr>
                <w:rFonts w:ascii="Arial" w:hAnsi="Arial" w:cs="Arial"/>
                <w:color w:val="000000"/>
                <w:sz w:val="24"/>
                <w:szCs w:val="24"/>
              </w:rPr>
              <w:t xml:space="preserve">French Early Reading Site – La lecture </w:t>
            </w:r>
            <w:proofErr w:type="spellStart"/>
            <w:r w:rsidRPr="00296F9E">
              <w:rPr>
                <w:rFonts w:ascii="Arial" w:hAnsi="Arial" w:cs="Arial"/>
                <w:color w:val="000000"/>
                <w:sz w:val="24"/>
                <w:szCs w:val="24"/>
              </w:rPr>
              <w:t>precoce</w:t>
            </w:r>
            <w:proofErr w:type="spellEnd"/>
          </w:p>
          <w:p w14:paraId="7B24D355" w14:textId="77777777" w:rsidR="00296F9E" w:rsidRPr="00296F9E" w:rsidRDefault="00296F9E" w:rsidP="00296F9E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ind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F9E">
              <w:rPr>
                <w:rFonts w:ascii="Arial" w:hAnsi="Arial" w:cs="Arial"/>
                <w:color w:val="000000"/>
                <w:sz w:val="24"/>
                <w:szCs w:val="24"/>
              </w:rPr>
              <w:t>Action-Oriented approach to Learning Site</w:t>
            </w:r>
          </w:p>
          <w:p w14:paraId="4F8C83AB" w14:textId="77777777" w:rsidR="00296F9E" w:rsidRPr="00296F9E" w:rsidRDefault="00296F9E" w:rsidP="00296F9E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ind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6F9E">
              <w:rPr>
                <w:rFonts w:ascii="Arial" w:hAnsi="Arial" w:cs="Arial"/>
                <w:color w:val="000000"/>
                <w:sz w:val="24"/>
                <w:szCs w:val="24"/>
              </w:rPr>
              <w:t>Decolonizing French K-12 – Summer Institute Session for Beginning Teachers</w:t>
            </w:r>
          </w:p>
          <w:p w14:paraId="19796CC6" w14:textId="77777777" w:rsidR="00296F9E" w:rsidRPr="00482FB2" w:rsidRDefault="00296F9E" w:rsidP="00296F9E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 w:rsidRPr="00296F9E">
              <w:rPr>
                <w:rFonts w:ascii="Arial" w:hAnsi="Arial" w:cs="Arial"/>
                <w:color w:val="000000"/>
                <w:sz w:val="24"/>
                <w:szCs w:val="24"/>
              </w:rPr>
              <w:t>Handbook – Support Non-</w:t>
            </w:r>
            <w:r w:rsidRPr="00296F9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Speaking French Occasional Teachers</w:t>
            </w:r>
          </w:p>
          <w:p w14:paraId="5C65B75E" w14:textId="74E28809" w:rsidR="00482FB2" w:rsidRPr="00296F9E" w:rsidRDefault="00482FB2" w:rsidP="00296F9E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Core French – virtual learning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8763A" w14:textId="184CB824" w:rsidR="00296F9E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lastRenderedPageBreak/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6A2F" w14:textId="6CBCD2D5" w:rsidR="00296F9E" w:rsidRDefault="00296F9E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2621E" w14:textId="77777777" w:rsidR="00296F9E" w:rsidRPr="00D37013" w:rsidRDefault="00296F9E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E7E11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006583FA" w:rsidR="006E7E11" w:rsidRPr="00D37013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482FB2">
              <w:rPr>
                <w:rFonts w:ascii="Arial" w:eastAsia="Times New Roman" w:hAnsi="Arial" w:cs="Arial"/>
                <w:szCs w:val="24"/>
              </w:rPr>
              <w:t>0</w:t>
            </w:r>
            <w:r w:rsidR="006E7E1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E7E11" w:rsidRPr="00D37013" w:rsidRDefault="006E7E11" w:rsidP="00BF4832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 w:rsidR="00BF4832"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E7E11" w:rsidRPr="00D37013" w:rsidRDefault="006E7E1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2D8EDD8" w:rsidR="006E7E11" w:rsidRPr="00D37013" w:rsidRDefault="006E7E11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E7E11" w:rsidRPr="00D37013" w:rsidRDefault="006E7E1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6F7B97EF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8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Oct 11, Nov 8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D263" w14:textId="77777777" w:rsidR="001A3F81" w:rsidRDefault="001A3F81">
      <w:r>
        <w:separator/>
      </w:r>
    </w:p>
  </w:endnote>
  <w:endnote w:type="continuationSeparator" w:id="0">
    <w:p w14:paraId="30B348BE" w14:textId="77777777" w:rsidR="001A3F81" w:rsidRDefault="001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EE10" w14:textId="77777777" w:rsidR="001A3F81" w:rsidRDefault="001A3F81">
      <w:r>
        <w:separator/>
      </w:r>
    </w:p>
  </w:footnote>
  <w:footnote w:type="continuationSeparator" w:id="0">
    <w:p w14:paraId="497574F5" w14:textId="77777777" w:rsidR="001A3F81" w:rsidRDefault="001A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4B7A527B"/>
    <w:multiLevelType w:val="hybridMultilevel"/>
    <w:tmpl w:val="0F5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20859"/>
    <w:rsid w:val="00031E29"/>
    <w:rsid w:val="00042356"/>
    <w:rsid w:val="000508CF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75C5"/>
    <w:rsid w:val="000F7F2C"/>
    <w:rsid w:val="001020CC"/>
    <w:rsid w:val="001116E3"/>
    <w:rsid w:val="00116919"/>
    <w:rsid w:val="00117B93"/>
    <w:rsid w:val="0013423E"/>
    <w:rsid w:val="001355C6"/>
    <w:rsid w:val="00136C95"/>
    <w:rsid w:val="0014475C"/>
    <w:rsid w:val="00153C0B"/>
    <w:rsid w:val="00154B91"/>
    <w:rsid w:val="00157CF4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4CEE"/>
    <w:rsid w:val="003814BC"/>
    <w:rsid w:val="00386A54"/>
    <w:rsid w:val="003877DD"/>
    <w:rsid w:val="003B55E4"/>
    <w:rsid w:val="003E4D78"/>
    <w:rsid w:val="003E7932"/>
    <w:rsid w:val="003F01B7"/>
    <w:rsid w:val="003F36B4"/>
    <w:rsid w:val="003F6D34"/>
    <w:rsid w:val="00400B56"/>
    <w:rsid w:val="0041561B"/>
    <w:rsid w:val="00417067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A1F9C"/>
    <w:rsid w:val="004B01C7"/>
    <w:rsid w:val="004B5247"/>
    <w:rsid w:val="004B6604"/>
    <w:rsid w:val="004C1FC7"/>
    <w:rsid w:val="004D1371"/>
    <w:rsid w:val="004D32E6"/>
    <w:rsid w:val="004D7333"/>
    <w:rsid w:val="004E0422"/>
    <w:rsid w:val="004E1993"/>
    <w:rsid w:val="004E5CC4"/>
    <w:rsid w:val="004F7EF4"/>
    <w:rsid w:val="00502867"/>
    <w:rsid w:val="00511812"/>
    <w:rsid w:val="005264E0"/>
    <w:rsid w:val="00533A3C"/>
    <w:rsid w:val="00544942"/>
    <w:rsid w:val="00564286"/>
    <w:rsid w:val="005652F6"/>
    <w:rsid w:val="00565D35"/>
    <w:rsid w:val="005753CE"/>
    <w:rsid w:val="00575B84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7353"/>
    <w:rsid w:val="006130F8"/>
    <w:rsid w:val="00614180"/>
    <w:rsid w:val="0062571E"/>
    <w:rsid w:val="00625FB2"/>
    <w:rsid w:val="00626F5C"/>
    <w:rsid w:val="00631D08"/>
    <w:rsid w:val="006368B4"/>
    <w:rsid w:val="006431D5"/>
    <w:rsid w:val="0064418F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B0E87"/>
    <w:rsid w:val="006B3B1D"/>
    <w:rsid w:val="006B4924"/>
    <w:rsid w:val="006B74F2"/>
    <w:rsid w:val="006B77A6"/>
    <w:rsid w:val="006C0A71"/>
    <w:rsid w:val="006C2457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657D"/>
    <w:rsid w:val="007175CA"/>
    <w:rsid w:val="007203C8"/>
    <w:rsid w:val="00722B20"/>
    <w:rsid w:val="00725478"/>
    <w:rsid w:val="00727B0C"/>
    <w:rsid w:val="00731C4B"/>
    <w:rsid w:val="00734A48"/>
    <w:rsid w:val="007379D7"/>
    <w:rsid w:val="00741643"/>
    <w:rsid w:val="00746716"/>
    <w:rsid w:val="007526D8"/>
    <w:rsid w:val="0076321A"/>
    <w:rsid w:val="00763D88"/>
    <w:rsid w:val="007814A5"/>
    <w:rsid w:val="007857E5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5D2D"/>
    <w:rsid w:val="0088799E"/>
    <w:rsid w:val="008B5B35"/>
    <w:rsid w:val="008D0A5C"/>
    <w:rsid w:val="008E1C06"/>
    <w:rsid w:val="008E1E1A"/>
    <w:rsid w:val="008E340D"/>
    <w:rsid w:val="008F6F5B"/>
    <w:rsid w:val="00902CBD"/>
    <w:rsid w:val="00907739"/>
    <w:rsid w:val="00925957"/>
    <w:rsid w:val="00931739"/>
    <w:rsid w:val="00932243"/>
    <w:rsid w:val="009404AD"/>
    <w:rsid w:val="009458FC"/>
    <w:rsid w:val="00945B43"/>
    <w:rsid w:val="00957A22"/>
    <w:rsid w:val="00960081"/>
    <w:rsid w:val="0096163B"/>
    <w:rsid w:val="00970A1E"/>
    <w:rsid w:val="00975A2C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B55B5"/>
    <w:rsid w:val="00BC0D51"/>
    <w:rsid w:val="00BD2613"/>
    <w:rsid w:val="00BD50DC"/>
    <w:rsid w:val="00BD637C"/>
    <w:rsid w:val="00BE6C90"/>
    <w:rsid w:val="00BF4832"/>
    <w:rsid w:val="00BF7369"/>
    <w:rsid w:val="00C274FF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F76"/>
    <w:rsid w:val="00CE70D6"/>
    <w:rsid w:val="00CE7860"/>
    <w:rsid w:val="00CF6349"/>
    <w:rsid w:val="00D20057"/>
    <w:rsid w:val="00D24081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D6602"/>
    <w:rsid w:val="00EE3DBA"/>
    <w:rsid w:val="00EE4B24"/>
    <w:rsid w:val="00EE5FB7"/>
    <w:rsid w:val="00EE78EB"/>
    <w:rsid w:val="00EE7EFD"/>
    <w:rsid w:val="00EF18F7"/>
    <w:rsid w:val="00EF7C58"/>
    <w:rsid w:val="00F04819"/>
    <w:rsid w:val="00F16C7A"/>
    <w:rsid w:val="00F20E44"/>
    <w:rsid w:val="00F4291D"/>
    <w:rsid w:val="00F434F9"/>
    <w:rsid w:val="00F51C41"/>
    <w:rsid w:val="00F60F38"/>
    <w:rsid w:val="00F64AF9"/>
    <w:rsid w:val="00F7493C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Stockdale, Linda</cp:lastModifiedBy>
  <cp:revision>4</cp:revision>
  <cp:lastPrinted>2020-03-04T15:41:00Z</cp:lastPrinted>
  <dcterms:created xsi:type="dcterms:W3CDTF">2022-09-09T15:34:00Z</dcterms:created>
  <dcterms:modified xsi:type="dcterms:W3CDTF">2022-09-09T19:29:00Z</dcterms:modified>
</cp:coreProperties>
</file>