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7A40" w14:textId="77777777" w:rsidR="007F0D39" w:rsidRDefault="007F0D39" w:rsidP="007F0D39">
      <w:bookmarkStart w:id="0" w:name="_Hlk115691702"/>
    </w:p>
    <w:p w14:paraId="6CAC2996" w14:textId="38F05597" w:rsidR="009D21AE" w:rsidRDefault="009D21AE" w:rsidP="007F0D39">
      <w:pPr>
        <w:pStyle w:val="Heading1"/>
      </w:pPr>
      <w:r w:rsidRPr="00382675">
        <w:rPr>
          <w:noProof/>
          <w:lang w:eastAsia="en-CA"/>
        </w:rPr>
        <w:drawing>
          <wp:inline distT="0" distB="0" distL="0" distR="0" wp14:anchorId="4A71107B" wp14:editId="3976A911">
            <wp:extent cx="8983980" cy="1295663"/>
            <wp:effectExtent l="0" t="0" r="7620" b="0"/>
            <wp:docPr id="1" name="Picture 1" descr="Community Advisory Committe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 Advisory Committees 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754" cy="13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997A1" w14:textId="3C56E56C" w:rsidR="007F0D39" w:rsidRPr="009319DA" w:rsidRDefault="007F0D39" w:rsidP="007F0D39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>
        <w:tab/>
        <w:t>Environmental Sustainability</w:t>
      </w:r>
      <w:r w:rsidRPr="009319DA">
        <w:rPr>
          <w:spacing w:val="3"/>
        </w:rPr>
        <w:t xml:space="preserve">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>
        <w:t xml:space="preserve"> (ESCAC)</w:t>
      </w:r>
    </w:p>
    <w:p w14:paraId="5A9AE609" w14:textId="546395FE" w:rsidR="007F0D39" w:rsidRPr="00025D69" w:rsidRDefault="007F0D39" w:rsidP="007F0D39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szCs w:val="24"/>
        </w:rPr>
        <w:t>:</w:t>
      </w:r>
      <w:r>
        <w:rPr>
          <w:rFonts w:eastAsia="Arial" w:cs="Arial"/>
          <w:szCs w:val="24"/>
        </w:rPr>
        <w:tab/>
      </w:r>
      <w:r w:rsidR="001A10C3">
        <w:rPr>
          <w:rFonts w:eastAsia="Arial" w:cs="Arial"/>
          <w:b/>
          <w:szCs w:val="24"/>
        </w:rPr>
        <w:t>Nov 1</w:t>
      </w:r>
      <w:r>
        <w:rPr>
          <w:rFonts w:eastAsia="Arial" w:cs="Arial"/>
          <w:b/>
          <w:szCs w:val="24"/>
        </w:rPr>
        <w:t>, 2022</w:t>
      </w:r>
    </w:p>
    <w:p w14:paraId="121FB73E" w14:textId="43E8BDD0" w:rsidR="007F0D39" w:rsidRPr="00C57E99" w:rsidRDefault="007F0D39" w:rsidP="004002A2">
      <w:pPr>
        <w:pStyle w:val="Heading2"/>
        <w:ind w:left="0" w:firstLine="0"/>
        <w:rPr>
          <w:lang w:val="en-CA"/>
        </w:rPr>
      </w:pPr>
      <w:r w:rsidRPr="00C57E99">
        <w:rPr>
          <w:lang w:val="en-CA"/>
        </w:rPr>
        <w:t>Attendance via Zoom:</w:t>
      </w:r>
    </w:p>
    <w:p w14:paraId="14D1D72C" w14:textId="2CD5D0BB" w:rsidR="00BE7732" w:rsidRPr="005F30D4" w:rsidRDefault="00BE7732" w:rsidP="00BE7732">
      <w:pPr>
        <w:rPr>
          <w:color w:val="000000" w:themeColor="text1"/>
        </w:rPr>
      </w:pPr>
      <w:bookmarkStart w:id="1" w:name="_Hlk94102687"/>
      <w:bookmarkStart w:id="2" w:name="_Hlk85460665"/>
      <w:r w:rsidRPr="005F30D4">
        <w:rPr>
          <w:rFonts w:cs="Arial"/>
          <w:color w:val="000000" w:themeColor="text1"/>
          <w:szCs w:val="24"/>
        </w:rPr>
        <w:t xml:space="preserve">Manna Wong (Trustee, Ward 20), Anne Keary (Community Co-Chair), Susan </w:t>
      </w:r>
      <w:proofErr w:type="spellStart"/>
      <w:r w:rsidRPr="005F30D4">
        <w:rPr>
          <w:rFonts w:cs="Arial"/>
          <w:color w:val="000000" w:themeColor="text1"/>
          <w:szCs w:val="24"/>
        </w:rPr>
        <w:t>Bakshi</w:t>
      </w:r>
      <w:proofErr w:type="spellEnd"/>
      <w:r w:rsidRPr="005F30D4">
        <w:rPr>
          <w:rFonts w:cs="Arial"/>
          <w:color w:val="000000" w:themeColor="text1"/>
          <w:szCs w:val="24"/>
        </w:rPr>
        <w:t xml:space="preserve"> (Parent), Maria </w:t>
      </w:r>
      <w:proofErr w:type="spellStart"/>
      <w:r w:rsidRPr="005F30D4">
        <w:rPr>
          <w:rFonts w:cs="Arial"/>
          <w:color w:val="000000" w:themeColor="text1"/>
          <w:szCs w:val="24"/>
        </w:rPr>
        <w:t>Bazilevskaya</w:t>
      </w:r>
      <w:proofErr w:type="spellEnd"/>
      <w:r>
        <w:rPr>
          <w:rFonts w:cs="Arial"/>
          <w:color w:val="000000" w:themeColor="text1"/>
          <w:szCs w:val="24"/>
        </w:rPr>
        <w:t xml:space="preserve"> (Parent)</w:t>
      </w:r>
      <w:r w:rsidRPr="005F30D4">
        <w:rPr>
          <w:rFonts w:cs="Arial"/>
          <w:color w:val="000000" w:themeColor="text1"/>
          <w:szCs w:val="24"/>
        </w:rPr>
        <w:t>, Esther Collier (Community Member),</w:t>
      </w:r>
      <w:r w:rsidRPr="005F30D4">
        <w:rPr>
          <w:rFonts w:cs="Arial"/>
          <w:b/>
          <w:bCs/>
          <w:color w:val="000000" w:themeColor="text1"/>
          <w:szCs w:val="24"/>
        </w:rPr>
        <w:t xml:space="preserve"> </w:t>
      </w:r>
      <w:r w:rsidRPr="005F30D4">
        <w:rPr>
          <w:rFonts w:cs="Arial"/>
          <w:color w:val="000000" w:themeColor="text1"/>
          <w:szCs w:val="24"/>
        </w:rPr>
        <w:t>Barbara Falby (For Our Grandchildren), Paula Gallo (</w:t>
      </w:r>
      <w:r>
        <w:rPr>
          <w:rFonts w:cs="Arial"/>
          <w:color w:val="000000" w:themeColor="text1"/>
          <w:szCs w:val="24"/>
        </w:rPr>
        <w:t>Recreate Place</w:t>
      </w:r>
      <w:r w:rsidRPr="005F30D4">
        <w:rPr>
          <w:rFonts w:cs="Arial"/>
          <w:color w:val="000000" w:themeColor="text1"/>
          <w:szCs w:val="24"/>
        </w:rPr>
        <w:t>), Hilary Inwood (OISE), Alysse Kennedy (Natural Curiosity), Michelle Martin</w:t>
      </w:r>
      <w:r>
        <w:rPr>
          <w:rFonts w:cs="Arial"/>
          <w:color w:val="000000" w:themeColor="text1"/>
          <w:szCs w:val="24"/>
        </w:rPr>
        <w:t xml:space="preserve"> (Community Member)</w:t>
      </w:r>
      <w:r w:rsidRPr="005F30D4">
        <w:rPr>
          <w:rFonts w:cs="Arial"/>
          <w:color w:val="000000" w:themeColor="text1"/>
          <w:szCs w:val="24"/>
        </w:rPr>
        <w:t>, Stefan Sommer (CUPE 4400), Jeff McCormic</w:t>
      </w:r>
      <w:r>
        <w:rPr>
          <w:rFonts w:cs="Arial"/>
          <w:color w:val="000000" w:themeColor="text1"/>
          <w:szCs w:val="24"/>
        </w:rPr>
        <w:t>k</w:t>
      </w:r>
      <w:r w:rsidRPr="005F30D4">
        <w:rPr>
          <w:rFonts w:cs="Arial"/>
          <w:color w:val="000000" w:themeColor="text1"/>
          <w:szCs w:val="24"/>
        </w:rPr>
        <w:t xml:space="preserve"> (City of Toronto), Linda Naccarato</w:t>
      </w:r>
      <w:r>
        <w:rPr>
          <w:rFonts w:cs="Arial"/>
          <w:color w:val="000000" w:themeColor="text1"/>
          <w:szCs w:val="24"/>
        </w:rPr>
        <w:t xml:space="preserve"> (Community Member)</w:t>
      </w:r>
      <w:r w:rsidRPr="005F30D4">
        <w:rPr>
          <w:rFonts w:cs="Arial"/>
          <w:color w:val="000000" w:themeColor="text1"/>
          <w:szCs w:val="24"/>
        </w:rPr>
        <w:t>, Julian Terpstra</w:t>
      </w:r>
      <w:r w:rsidR="00B46B8C">
        <w:rPr>
          <w:rFonts w:cs="Arial"/>
          <w:color w:val="000000" w:themeColor="text1"/>
          <w:szCs w:val="24"/>
        </w:rPr>
        <w:t xml:space="preserve"> (Community Member)</w:t>
      </w:r>
      <w:r w:rsidRPr="005F30D4">
        <w:rPr>
          <w:rFonts w:cs="Arial"/>
          <w:color w:val="000000" w:themeColor="text1"/>
          <w:szCs w:val="24"/>
        </w:rPr>
        <w:t>, Mieke Foster (Community Member), Sunday Harrison (Green Thumbs Growing Kids), Bob Spencer (Beach Community Energy Co-op), Andrea Stephens (Parent).</w:t>
      </w:r>
    </w:p>
    <w:p w14:paraId="51385E11" w14:textId="77777777" w:rsidR="00BE7732" w:rsidRPr="005F30D4" w:rsidRDefault="00BE7732" w:rsidP="00BE7732">
      <w:pPr>
        <w:pStyle w:val="PlainText"/>
        <w:rPr>
          <w:rFonts w:ascii="Arial" w:hAnsi="Arial" w:cs="Arial"/>
          <w:color w:val="000000" w:themeColor="text1"/>
          <w:sz w:val="24"/>
          <w:szCs w:val="24"/>
        </w:rPr>
      </w:pPr>
      <w:r w:rsidRPr="005F30D4">
        <w:rPr>
          <w:rFonts w:ascii="Arial" w:hAnsi="Arial" w:cs="Arial"/>
          <w:color w:val="000000" w:themeColor="text1"/>
          <w:sz w:val="24"/>
          <w:szCs w:val="24"/>
        </w:rPr>
        <w:t xml:space="preserve">Also present were: Richard Christie (TDSB), Kristen Evers (TDSB), Mary Kokinakis (TDSB), Pam Miller (TDSB), </w:t>
      </w:r>
      <w:r w:rsidRPr="000C4C53">
        <w:rPr>
          <w:rFonts w:ascii="Arial" w:hAnsi="Arial" w:cs="Arial"/>
          <w:color w:val="000000" w:themeColor="text1"/>
          <w:sz w:val="24"/>
          <w:szCs w:val="24"/>
        </w:rPr>
        <w:t xml:space="preserve">Mahnaz Mirkhond-Chegini (TDSB), </w:t>
      </w:r>
      <w:r w:rsidRPr="005F30D4">
        <w:rPr>
          <w:rFonts w:ascii="Arial" w:hAnsi="Arial" w:cs="Arial"/>
          <w:color w:val="000000" w:themeColor="text1"/>
          <w:sz w:val="24"/>
          <w:szCs w:val="24"/>
        </w:rPr>
        <w:t>Gigi Shanks (TDSB).</w:t>
      </w:r>
    </w:p>
    <w:p w14:paraId="0749BB76" w14:textId="77777777" w:rsidR="007F0D39" w:rsidRPr="009D21AE" w:rsidRDefault="007F0D39" w:rsidP="007F0D39">
      <w:pPr>
        <w:pStyle w:val="PlainText"/>
        <w:rPr>
          <w:rFonts w:ascii="Arial" w:hAnsi="Arial" w:cs="Arial"/>
          <w:b/>
          <w:bCs/>
          <w:sz w:val="28"/>
          <w:szCs w:val="28"/>
        </w:rPr>
      </w:pPr>
    </w:p>
    <w:bookmarkEnd w:id="1"/>
    <w:bookmarkEnd w:id="2"/>
    <w:p w14:paraId="4407D1DF" w14:textId="558E9C9D" w:rsidR="00906C3D" w:rsidRPr="004002A2" w:rsidRDefault="007F0D39" w:rsidP="004002A2">
      <w:pPr>
        <w:pStyle w:val="PlainText"/>
        <w:rPr>
          <w:rFonts w:ascii="Arial" w:hAnsi="Arial" w:cs="Arial"/>
          <w:sz w:val="24"/>
          <w:szCs w:val="24"/>
        </w:rPr>
      </w:pPr>
      <w:r w:rsidRPr="004002A2">
        <w:rPr>
          <w:rFonts w:ascii="Arial" w:hAnsi="Arial" w:cs="Arial"/>
          <w:b/>
          <w:bCs/>
          <w:sz w:val="28"/>
          <w:szCs w:val="28"/>
        </w:rPr>
        <w:t>Regrets:</w:t>
      </w:r>
      <w:r w:rsidRPr="009D21AE">
        <w:rPr>
          <w:b/>
          <w:bCs/>
          <w:sz w:val="28"/>
          <w:szCs w:val="28"/>
        </w:rPr>
        <w:t xml:space="preserve"> </w:t>
      </w:r>
      <w:r w:rsidRPr="002C3135">
        <w:br/>
      </w:r>
      <w:r w:rsidR="007F1F5B" w:rsidRPr="004002A2">
        <w:rPr>
          <w:rFonts w:ascii="Arial" w:eastAsia="Myriad Pro" w:hAnsi="Arial" w:cs="Arial"/>
          <w:b/>
          <w:bCs/>
          <w:sz w:val="24"/>
          <w:szCs w:val="24"/>
          <w:lang w:val="en-US"/>
        </w:rPr>
        <w:br/>
      </w:r>
      <w:r w:rsidR="007F1F5B" w:rsidRPr="004002A2">
        <w:rPr>
          <w:rFonts w:ascii="Arial" w:hAnsi="Arial" w:cs="Arial"/>
          <w:color w:val="232333"/>
          <w:sz w:val="24"/>
          <w:szCs w:val="24"/>
          <w:shd w:val="clear" w:color="auto" w:fill="FFFFFF"/>
        </w:rPr>
        <w:t>Valerie Endicott (Community Member)</w:t>
      </w:r>
      <w:r w:rsidR="00BE7732">
        <w:rPr>
          <w:rFonts w:ascii="Arial" w:hAnsi="Arial" w:cs="Arial"/>
          <w:color w:val="232333"/>
          <w:sz w:val="24"/>
          <w:szCs w:val="24"/>
          <w:shd w:val="clear" w:color="auto" w:fill="FFFFFF"/>
        </w:rPr>
        <w:t>,</w:t>
      </w:r>
      <w:r w:rsidR="007F1F5B" w:rsidRPr="004002A2">
        <w:rPr>
          <w:rFonts w:ascii="Arial" w:hAnsi="Arial" w:cs="Arial"/>
          <w:sz w:val="24"/>
          <w:szCs w:val="24"/>
        </w:rPr>
        <w:t xml:space="preserve"> Dan Maclean (Trustee, Ward 2</w:t>
      </w:r>
      <w:r w:rsidR="00BE7732">
        <w:rPr>
          <w:rFonts w:ascii="Arial" w:hAnsi="Arial" w:cs="Arial"/>
          <w:sz w:val="24"/>
          <w:szCs w:val="24"/>
        </w:rPr>
        <w:t>),</w:t>
      </w:r>
      <w:r w:rsidR="00906C3D" w:rsidRPr="004002A2">
        <w:rPr>
          <w:rFonts w:ascii="Arial" w:hAnsi="Arial" w:cs="Arial"/>
          <w:sz w:val="24"/>
          <w:szCs w:val="24"/>
        </w:rPr>
        <w:t xml:space="preserve"> </w:t>
      </w:r>
      <w:r w:rsidR="00906C3D" w:rsidRPr="004002A2">
        <w:rPr>
          <w:rFonts w:ascii="Arial" w:eastAsia="Myriad Pro" w:hAnsi="Arial" w:cs="Arial"/>
          <w:sz w:val="24"/>
          <w:szCs w:val="24"/>
          <w:lang w:val="en-US"/>
        </w:rPr>
        <w:t>Stephanie Hall (TDSB)</w:t>
      </w:r>
      <w:r w:rsidR="00BE7732">
        <w:rPr>
          <w:rFonts w:ascii="Arial" w:eastAsia="Myriad Pro" w:hAnsi="Arial" w:cs="Arial"/>
          <w:sz w:val="24"/>
          <w:szCs w:val="24"/>
          <w:lang w:val="en-US"/>
        </w:rPr>
        <w:t>,</w:t>
      </w:r>
      <w:r w:rsidR="00906C3D" w:rsidRPr="004002A2">
        <w:rPr>
          <w:rFonts w:ascii="Arial" w:eastAsia="Myriad Pro" w:hAnsi="Arial" w:cs="Arial"/>
          <w:b/>
          <w:bCs/>
          <w:sz w:val="24"/>
          <w:szCs w:val="24"/>
          <w:lang w:val="en-US"/>
        </w:rPr>
        <w:t xml:space="preserve"> </w:t>
      </w:r>
      <w:r w:rsidR="00906C3D" w:rsidRPr="004002A2">
        <w:rPr>
          <w:rFonts w:ascii="Arial" w:eastAsia="Myriad Pro" w:hAnsi="Arial" w:cs="Arial"/>
          <w:sz w:val="24"/>
          <w:szCs w:val="24"/>
          <w:lang w:val="en-US"/>
        </w:rPr>
        <w:t>Peyton Leung (TDSB),</w:t>
      </w:r>
      <w:r w:rsidR="00906C3D" w:rsidRPr="004002A2">
        <w:rPr>
          <w:rFonts w:ascii="Arial" w:hAnsi="Arial" w:cs="Arial"/>
          <w:sz w:val="24"/>
          <w:szCs w:val="24"/>
        </w:rPr>
        <w:t xml:space="preserve"> David Hawker-Budlovsky (TDSB) Jenna Goldberg (TDSB), Jenn Vetter (TDSB) </w:t>
      </w:r>
    </w:p>
    <w:p w14:paraId="32A95504" w14:textId="0A530EC6" w:rsidR="007F0D39" w:rsidRPr="001B5561" w:rsidRDefault="007F0D39" w:rsidP="007F0D39">
      <w:pPr>
        <w:pStyle w:val="Heading2"/>
        <w:rPr>
          <w:rFonts w:eastAsia="Myriad Pro" w:cs="Arial"/>
          <w:b w:val="0"/>
          <w:bCs w:val="0"/>
          <w:sz w:val="24"/>
          <w:szCs w:val="24"/>
          <w:lang w:val="en-US" w:eastAsia="en-US"/>
        </w:rPr>
      </w:pP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46"/>
        <w:gridCol w:w="2898"/>
      </w:tblGrid>
      <w:tr w:rsidR="007F0D39" w14:paraId="7813589F" w14:textId="77777777" w:rsidTr="00707EB6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252F484E" w14:textId="77777777" w:rsidR="007F0D39" w:rsidRPr="000A7A1E" w:rsidRDefault="007F0D39" w:rsidP="00707EB6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46" w:type="dxa"/>
            <w:shd w:val="clear" w:color="auto" w:fill="F2F2F2" w:themeFill="background1" w:themeFillShade="F2"/>
          </w:tcPr>
          <w:p w14:paraId="21F5A79D" w14:textId="77777777" w:rsidR="007F0D39" w:rsidRPr="009319DA" w:rsidRDefault="007F0D39" w:rsidP="00707EB6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682BEC41" w14:textId="77777777" w:rsidR="007F0D39" w:rsidRPr="005A3F2C" w:rsidRDefault="007F0D39" w:rsidP="00707EB6">
            <w:pPr>
              <w:rPr>
                <w:b/>
              </w:rPr>
            </w:pPr>
            <w:r w:rsidRPr="005A3F2C">
              <w:rPr>
                <w:b/>
              </w:rPr>
              <w:t>RECOMMENDATIONS / MOTIONS</w:t>
            </w:r>
          </w:p>
        </w:tc>
      </w:tr>
      <w:tr w:rsidR="007F0D39" w14:paraId="2ECF92C1" w14:textId="77777777" w:rsidTr="00707EB6">
        <w:tc>
          <w:tcPr>
            <w:tcW w:w="4872" w:type="dxa"/>
          </w:tcPr>
          <w:p w14:paraId="193BB1E4" w14:textId="77777777" w:rsidR="007F0D39" w:rsidRPr="001A7FA7" w:rsidRDefault="007F0D39" w:rsidP="00707EB6">
            <w:r w:rsidRPr="001A7FA7">
              <w:t>Call to Order / Quorum</w:t>
            </w:r>
          </w:p>
        </w:tc>
        <w:tc>
          <w:tcPr>
            <w:tcW w:w="6846" w:type="dxa"/>
          </w:tcPr>
          <w:p w14:paraId="2224417C" w14:textId="77777777" w:rsidR="007F0D39" w:rsidRPr="000861B3" w:rsidRDefault="007F0D39" w:rsidP="005D257A">
            <w:pPr>
              <w:pStyle w:val="ListParagraph"/>
            </w:pPr>
            <w:r w:rsidRPr="00322591">
              <w:t xml:space="preserve">Meeting called to </w:t>
            </w:r>
            <w:r w:rsidRPr="006D142A">
              <w:t xml:space="preserve">order at </w:t>
            </w:r>
            <w:r w:rsidRPr="00490C73">
              <w:t>6:3</w:t>
            </w:r>
            <w:r>
              <w:t xml:space="preserve">5 </w:t>
            </w:r>
            <w:r w:rsidRPr="006D142A">
              <w:t>p.m.</w:t>
            </w:r>
          </w:p>
        </w:tc>
        <w:tc>
          <w:tcPr>
            <w:tcW w:w="2898" w:type="dxa"/>
          </w:tcPr>
          <w:p w14:paraId="63F0FABA" w14:textId="77777777" w:rsidR="007F0D39" w:rsidRPr="009319DA" w:rsidRDefault="007F0D39" w:rsidP="00707EB6"/>
        </w:tc>
      </w:tr>
      <w:tr w:rsidR="007F0D39" w14:paraId="4D41E4F5" w14:textId="77777777" w:rsidTr="00707EB6">
        <w:tc>
          <w:tcPr>
            <w:tcW w:w="4872" w:type="dxa"/>
          </w:tcPr>
          <w:p w14:paraId="2DAB2816" w14:textId="77777777" w:rsidR="007F0D39" w:rsidRPr="001A7FA7" w:rsidRDefault="007F0D39" w:rsidP="00707EB6">
            <w:r w:rsidRPr="001A7FA7">
              <w:t>Approval of Agenda</w:t>
            </w:r>
          </w:p>
        </w:tc>
        <w:tc>
          <w:tcPr>
            <w:tcW w:w="6846" w:type="dxa"/>
          </w:tcPr>
          <w:p w14:paraId="1A2D9495" w14:textId="77777777" w:rsidR="007F0D39" w:rsidRPr="000861B3" w:rsidRDefault="007F0D39" w:rsidP="005D257A">
            <w:pPr>
              <w:pStyle w:val="ListParagraph"/>
            </w:pPr>
            <w:r>
              <w:t>Agenda approved</w:t>
            </w:r>
          </w:p>
        </w:tc>
        <w:tc>
          <w:tcPr>
            <w:tcW w:w="2898" w:type="dxa"/>
          </w:tcPr>
          <w:p w14:paraId="61A9E1A2" w14:textId="77777777" w:rsidR="007F0D39" w:rsidRPr="009319DA" w:rsidRDefault="007F0D39" w:rsidP="00707EB6"/>
        </w:tc>
      </w:tr>
      <w:tr w:rsidR="007F0D39" w14:paraId="5CE3DDBC" w14:textId="77777777" w:rsidTr="00707EB6">
        <w:tc>
          <w:tcPr>
            <w:tcW w:w="4872" w:type="dxa"/>
          </w:tcPr>
          <w:p w14:paraId="73F9746D" w14:textId="21BD01DC" w:rsidR="007F0D39" w:rsidRPr="009619B4" w:rsidRDefault="007F0D39" w:rsidP="00707EB6">
            <w:pPr>
              <w:rPr>
                <w:rFonts w:cs="Arial"/>
              </w:rPr>
            </w:pPr>
            <w:r>
              <w:t xml:space="preserve">Approval of </w:t>
            </w:r>
            <w:r w:rsidR="00D63A3E">
              <w:t>September 1</w:t>
            </w:r>
            <w:r>
              <w:t>3, 2022 minutes</w:t>
            </w:r>
          </w:p>
        </w:tc>
        <w:tc>
          <w:tcPr>
            <w:tcW w:w="6846" w:type="dxa"/>
          </w:tcPr>
          <w:p w14:paraId="43F4693E" w14:textId="77777777" w:rsidR="007F0D39" w:rsidRPr="000861B3" w:rsidRDefault="007F0D39" w:rsidP="005D257A">
            <w:pPr>
              <w:pStyle w:val="ListParagraph"/>
            </w:pPr>
            <w:r>
              <w:t>Minutes approved, without comments.</w:t>
            </w:r>
          </w:p>
        </w:tc>
        <w:tc>
          <w:tcPr>
            <w:tcW w:w="2898" w:type="dxa"/>
          </w:tcPr>
          <w:p w14:paraId="12763BE1" w14:textId="633572CA" w:rsidR="007F0D39" w:rsidRPr="009319DA" w:rsidRDefault="007F0D39" w:rsidP="00707EB6"/>
        </w:tc>
      </w:tr>
      <w:tr w:rsidR="00D63A3E" w14:paraId="3567EDE1" w14:textId="77777777" w:rsidTr="00707EB6">
        <w:tc>
          <w:tcPr>
            <w:tcW w:w="4872" w:type="dxa"/>
          </w:tcPr>
          <w:p w14:paraId="05A134E1" w14:textId="299B8B74" w:rsidR="00D63A3E" w:rsidRDefault="00D63A3E" w:rsidP="00D63A3E">
            <w:pPr>
              <w:rPr>
                <w:rFonts w:cs="Arial"/>
              </w:rPr>
            </w:pPr>
            <w:r>
              <w:t>Land Acknowledgment</w:t>
            </w:r>
          </w:p>
        </w:tc>
        <w:tc>
          <w:tcPr>
            <w:tcW w:w="6846" w:type="dxa"/>
          </w:tcPr>
          <w:p w14:paraId="14764301" w14:textId="4F41ACF8" w:rsidR="00D63A3E" w:rsidRDefault="00D63A3E" w:rsidP="005D257A">
            <w:pPr>
              <w:pStyle w:val="ListParagraph"/>
            </w:pPr>
            <w:r w:rsidRPr="00756A87">
              <w:t>Land Acknowledgement</w:t>
            </w:r>
          </w:p>
        </w:tc>
        <w:tc>
          <w:tcPr>
            <w:tcW w:w="2898" w:type="dxa"/>
          </w:tcPr>
          <w:p w14:paraId="17F537BC" w14:textId="77777777" w:rsidR="00D63A3E" w:rsidRPr="009319DA" w:rsidRDefault="00D63A3E" w:rsidP="00D63A3E"/>
        </w:tc>
      </w:tr>
      <w:tr w:rsidR="002045A6" w14:paraId="082A5F4C" w14:textId="77777777" w:rsidTr="00707EB6">
        <w:tc>
          <w:tcPr>
            <w:tcW w:w="4872" w:type="dxa"/>
          </w:tcPr>
          <w:p w14:paraId="697B9103" w14:textId="545B3578" w:rsidR="002045A6" w:rsidRDefault="002045A6" w:rsidP="002045A6">
            <w:pPr>
              <w:rPr>
                <w:rFonts w:cs="Arial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6846" w:type="dxa"/>
          </w:tcPr>
          <w:p w14:paraId="44770325" w14:textId="6DECEA2C" w:rsidR="002045A6" w:rsidRDefault="002045A6" w:rsidP="005D257A">
            <w:pPr>
              <w:pStyle w:val="ListParagraph"/>
            </w:pPr>
            <w:r>
              <w:t>Co-Chairs and Participants</w:t>
            </w:r>
          </w:p>
        </w:tc>
        <w:tc>
          <w:tcPr>
            <w:tcW w:w="2898" w:type="dxa"/>
          </w:tcPr>
          <w:p w14:paraId="24C0813A" w14:textId="62A07EF5" w:rsidR="002045A6" w:rsidRPr="009319DA" w:rsidRDefault="002045A6" w:rsidP="002045A6"/>
        </w:tc>
      </w:tr>
      <w:tr w:rsidR="002045A6" w14:paraId="257083FF" w14:textId="77777777" w:rsidTr="00707EB6">
        <w:tc>
          <w:tcPr>
            <w:tcW w:w="4872" w:type="dxa"/>
          </w:tcPr>
          <w:p w14:paraId="24E26314" w14:textId="20ADBF6C" w:rsidR="002045A6" w:rsidRDefault="002045A6" w:rsidP="002045A6">
            <w:pPr>
              <w:rPr>
                <w:rFonts w:cs="Arial"/>
              </w:rPr>
            </w:pPr>
            <w:r>
              <w:rPr>
                <w:rFonts w:cs="Arial"/>
              </w:rPr>
              <w:t>2022 Climate Action</w:t>
            </w:r>
            <w:r w:rsidR="00C57E99">
              <w:rPr>
                <w:rFonts w:cs="Arial"/>
              </w:rPr>
              <w:t xml:space="preserve"> Report Update</w:t>
            </w:r>
          </w:p>
          <w:p w14:paraId="2CBE5B93" w14:textId="14701416" w:rsidR="00C57E99" w:rsidRPr="00D02585" w:rsidRDefault="00C57E99" w:rsidP="002045A6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  <w:tc>
          <w:tcPr>
            <w:tcW w:w="6846" w:type="dxa"/>
          </w:tcPr>
          <w:p w14:paraId="30E81407" w14:textId="43B4D033" w:rsidR="002045A6" w:rsidRPr="006B5E76" w:rsidRDefault="00126AF5" w:rsidP="002D03A2">
            <w:pPr>
              <w:pStyle w:val="ListParagraph"/>
            </w:pPr>
            <w:r>
              <w:t>Staff provided an u</w:t>
            </w:r>
            <w:r w:rsidR="002045A6">
              <w:t xml:space="preserve">pdate </w:t>
            </w:r>
            <w:r w:rsidR="00C57E99">
              <w:t xml:space="preserve">on </w:t>
            </w:r>
            <w:r w:rsidR="00BE7732">
              <w:t>draft action items planned for the TDSB’s annual climate report</w:t>
            </w:r>
            <w:r>
              <w:t xml:space="preserve"> with a focus on education and engagement actions.</w:t>
            </w:r>
          </w:p>
        </w:tc>
        <w:tc>
          <w:tcPr>
            <w:tcW w:w="2898" w:type="dxa"/>
          </w:tcPr>
          <w:p w14:paraId="5255176D" w14:textId="77777777" w:rsidR="002045A6" w:rsidRPr="009319DA" w:rsidRDefault="002045A6" w:rsidP="002045A6"/>
        </w:tc>
      </w:tr>
      <w:tr w:rsidR="002045A6" w14:paraId="61FBE4BD" w14:textId="77777777" w:rsidTr="00707EB6">
        <w:tc>
          <w:tcPr>
            <w:tcW w:w="4872" w:type="dxa"/>
          </w:tcPr>
          <w:p w14:paraId="6884877B" w14:textId="50883E4F" w:rsidR="002045A6" w:rsidRPr="001B5561" w:rsidRDefault="00C57E99" w:rsidP="002045A6">
            <w:pPr>
              <w:rPr>
                <w:rFonts w:cs="Arial"/>
              </w:rPr>
            </w:pPr>
            <w:r>
              <w:rPr>
                <w:rFonts w:cs="Arial"/>
              </w:rPr>
              <w:t>Discussion on Supporting Youth-led Climate Action, Continued</w:t>
            </w:r>
          </w:p>
          <w:p w14:paraId="77373AAB" w14:textId="0AA40873" w:rsidR="002045A6" w:rsidRPr="00983737" w:rsidRDefault="00C57E99" w:rsidP="002045A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eastAsia="Myriad Pro" w:hAnsi="Arial" w:cs="Arial"/>
                <w:szCs w:val="22"/>
                <w:lang w:val="en-US" w:eastAsia="en-US"/>
              </w:rPr>
              <w:t xml:space="preserve">Presentation from </w:t>
            </w:r>
            <w:r w:rsidR="002045A6">
              <w:rPr>
                <w:rFonts w:ascii="Arial" w:eastAsia="Myriad Pro" w:hAnsi="Arial" w:cs="Arial"/>
                <w:szCs w:val="22"/>
                <w:lang w:val="en-US" w:eastAsia="en-US"/>
              </w:rPr>
              <w:t>Jeff McCormic</w:t>
            </w:r>
            <w:r w:rsidR="00BE7732">
              <w:rPr>
                <w:rFonts w:ascii="Arial" w:eastAsia="Myriad Pro" w:hAnsi="Arial" w:cs="Arial"/>
                <w:szCs w:val="22"/>
                <w:lang w:val="en-US" w:eastAsia="en-US"/>
              </w:rPr>
              <w:t>k</w:t>
            </w:r>
            <w:r w:rsidR="002045A6">
              <w:rPr>
                <w:rFonts w:ascii="Arial" w:eastAsia="Myriad Pro" w:hAnsi="Arial" w:cs="Arial"/>
                <w:szCs w:val="22"/>
                <w:lang w:val="en-US" w:eastAsia="en-US"/>
              </w:rPr>
              <w:t>, Senior Environmental Planner, City of Toronto</w:t>
            </w:r>
          </w:p>
          <w:p w14:paraId="3F4E5C37" w14:textId="0C676FC3" w:rsidR="002045A6" w:rsidRPr="001A5266" w:rsidRDefault="002045A6" w:rsidP="002045A6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</w:tc>
        <w:tc>
          <w:tcPr>
            <w:tcW w:w="6846" w:type="dxa"/>
          </w:tcPr>
          <w:p w14:paraId="3F8B3238" w14:textId="42B0C3B1" w:rsidR="009544FA" w:rsidRDefault="005D257A" w:rsidP="009544FA">
            <w:pPr>
              <w:pStyle w:val="ListParagraph"/>
            </w:pPr>
            <w:r>
              <w:t>Staff from the City of Toronto’s Environment and Climate Division</w:t>
            </w:r>
            <w:r w:rsidR="00BE7732">
              <w:t xml:space="preserve"> </w:t>
            </w:r>
            <w:r w:rsidR="002045A6">
              <w:t xml:space="preserve">provided </w:t>
            </w:r>
            <w:r w:rsidR="00C57E99">
              <w:t xml:space="preserve">an overview </w:t>
            </w:r>
            <w:r w:rsidR="00126AF5">
              <w:t xml:space="preserve">of </w:t>
            </w:r>
            <w:r w:rsidR="002045A6">
              <w:t xml:space="preserve">the </w:t>
            </w:r>
            <w:r w:rsidR="00126AF5">
              <w:t xml:space="preserve">City of Toronto </w:t>
            </w:r>
            <w:r w:rsidR="002045A6">
              <w:t xml:space="preserve">Youth Climate Action Grants available </w:t>
            </w:r>
            <w:r w:rsidR="00C57E99">
              <w:t>to students</w:t>
            </w:r>
            <w:r w:rsidR="002045A6">
              <w:t xml:space="preserve">, </w:t>
            </w:r>
            <w:r w:rsidR="00C57E99">
              <w:t xml:space="preserve">sharing </w:t>
            </w:r>
            <w:r w:rsidR="002045A6">
              <w:t>the purpose/ objective, application process and timelines.</w:t>
            </w:r>
          </w:p>
          <w:p w14:paraId="06E9786B" w14:textId="29431A94" w:rsidR="002045A6" w:rsidRDefault="00C57E99" w:rsidP="005D257A">
            <w:pPr>
              <w:pStyle w:val="ListParagraph"/>
            </w:pPr>
            <w:r>
              <w:t xml:space="preserve">Examples of projects that would be supported were shared. </w:t>
            </w:r>
          </w:p>
          <w:p w14:paraId="4B8F1226" w14:textId="59094981" w:rsidR="002045A6" w:rsidRDefault="00126AF5" w:rsidP="005D257A">
            <w:pPr>
              <w:pStyle w:val="ListParagraph"/>
            </w:pPr>
            <w:r>
              <w:t>Clarification</w:t>
            </w:r>
            <w:r w:rsidR="002045A6">
              <w:t xml:space="preserve"> questions around grant eligibility, longevity/sustainability of projects,</w:t>
            </w:r>
            <w:r>
              <w:t xml:space="preserve"> and</w:t>
            </w:r>
            <w:r w:rsidR="002045A6">
              <w:t xml:space="preserve"> recognition plans</w:t>
            </w:r>
            <w:r>
              <w:t xml:space="preserve"> were shared</w:t>
            </w:r>
            <w:r w:rsidR="002045A6">
              <w:t>.</w:t>
            </w:r>
          </w:p>
          <w:p w14:paraId="7FC78C5B" w14:textId="1F084F6C" w:rsidR="002045A6" w:rsidRDefault="002045A6" w:rsidP="005D257A">
            <w:pPr>
              <w:pStyle w:val="ListParagraph"/>
            </w:pPr>
            <w:r>
              <w:t xml:space="preserve">A concern was raised around the structure of the program, that it </w:t>
            </w:r>
            <w:r w:rsidR="00C57E99">
              <w:t>will inevitably be</w:t>
            </w:r>
            <w:r>
              <w:t xml:space="preserve"> more </w:t>
            </w:r>
            <w:r>
              <w:lastRenderedPageBreak/>
              <w:t>teacher-led vs student-led</w:t>
            </w:r>
            <w:r w:rsidR="005D257A">
              <w:t xml:space="preserve">. </w:t>
            </w:r>
            <w:r>
              <w:t xml:space="preserve">Examples </w:t>
            </w:r>
            <w:r w:rsidR="005D257A">
              <w:t xml:space="preserve">of successful student-led projects </w:t>
            </w:r>
            <w:r>
              <w:t xml:space="preserve">were shared. </w:t>
            </w:r>
          </w:p>
          <w:p w14:paraId="15D8A043" w14:textId="55FDD4B0" w:rsidR="005D257A" w:rsidRDefault="002045A6" w:rsidP="005D257A">
            <w:pPr>
              <w:pStyle w:val="ListParagraph"/>
            </w:pPr>
            <w:r>
              <w:t xml:space="preserve">Ideas for how TDSB could further support the Youth Climate Action Grant initiative were </w:t>
            </w:r>
            <w:r w:rsidR="0029136C">
              <w:t xml:space="preserve">discussed, with an emphasis on </w:t>
            </w:r>
            <w:r>
              <w:t>communicat</w:t>
            </w:r>
            <w:r w:rsidR="004002A2">
              <w:t>ion strategies and promotion</w:t>
            </w:r>
            <w:r w:rsidR="0029136C">
              <w:t xml:space="preserve">. </w:t>
            </w:r>
          </w:p>
          <w:p w14:paraId="3C347E5A" w14:textId="2B95332A" w:rsidR="002045A6" w:rsidRPr="001A5266" w:rsidRDefault="005D257A" w:rsidP="005D257A">
            <w:pPr>
              <w:pStyle w:val="ListParagraph"/>
            </w:pPr>
            <w:r>
              <w:t xml:space="preserve">Meeting attendees were invited to use </w:t>
            </w:r>
            <w:hyperlink r:id="rId8" w:history="1">
              <w:r w:rsidRPr="00126AF5">
                <w:rPr>
                  <w:rStyle w:val="Hyperlink"/>
                </w:rPr>
                <w:t>Padlet</w:t>
              </w:r>
            </w:hyperlink>
            <w:r>
              <w:t xml:space="preserve"> to populate ideas for supporting youth-led climate action.</w:t>
            </w:r>
            <w:r w:rsidR="002045A6">
              <w:br/>
            </w:r>
          </w:p>
        </w:tc>
        <w:tc>
          <w:tcPr>
            <w:tcW w:w="2898" w:type="dxa"/>
          </w:tcPr>
          <w:p w14:paraId="44E00A67" w14:textId="77777777" w:rsidR="002045A6" w:rsidRPr="009319DA" w:rsidRDefault="002045A6" w:rsidP="002045A6"/>
        </w:tc>
      </w:tr>
      <w:tr w:rsidR="00B46B8C" w14:paraId="29B21DA0" w14:textId="77777777" w:rsidTr="00707EB6">
        <w:tc>
          <w:tcPr>
            <w:tcW w:w="4872" w:type="dxa"/>
          </w:tcPr>
          <w:p w14:paraId="1CF797DB" w14:textId="77777777" w:rsidR="00B46B8C" w:rsidRDefault="00B46B8C" w:rsidP="002045A6">
            <w:pPr>
              <w:rPr>
                <w:rFonts w:cs="Arial"/>
              </w:rPr>
            </w:pPr>
            <w:r>
              <w:rPr>
                <w:rFonts w:cs="Arial"/>
              </w:rPr>
              <w:t>ESCAC</w:t>
            </w:r>
          </w:p>
          <w:p w14:paraId="4E0C52EC" w14:textId="77777777" w:rsidR="00B46B8C" w:rsidRDefault="00B46B8C" w:rsidP="005D257A">
            <w:pPr>
              <w:pStyle w:val="ListParagraph"/>
              <w:numPr>
                <w:ilvl w:val="0"/>
                <w:numId w:val="1"/>
              </w:numPr>
            </w:pPr>
            <w:r>
              <w:t>Annual Report</w:t>
            </w:r>
          </w:p>
          <w:p w14:paraId="0E4FCF6B" w14:textId="77777777" w:rsidR="00B46B8C" w:rsidRDefault="00B46B8C" w:rsidP="005D257A">
            <w:pPr>
              <w:pStyle w:val="ListParagraph"/>
              <w:numPr>
                <w:ilvl w:val="0"/>
                <w:numId w:val="1"/>
              </w:numPr>
            </w:pPr>
            <w:r>
              <w:t>Self-Evaluation</w:t>
            </w:r>
          </w:p>
          <w:p w14:paraId="64981060" w14:textId="1AAEA0E2" w:rsidR="00B46B8C" w:rsidRPr="00B46B8C" w:rsidRDefault="00B46B8C" w:rsidP="002D03A2">
            <w:pPr>
              <w:pStyle w:val="ListParagraph"/>
              <w:numPr>
                <w:ilvl w:val="0"/>
                <w:numId w:val="1"/>
              </w:numPr>
            </w:pPr>
            <w:r>
              <w:t>Membership</w:t>
            </w:r>
          </w:p>
        </w:tc>
        <w:tc>
          <w:tcPr>
            <w:tcW w:w="6846" w:type="dxa"/>
          </w:tcPr>
          <w:p w14:paraId="57917605" w14:textId="2039AEB0" w:rsidR="00443CE6" w:rsidRDefault="00443CE6" w:rsidP="005D257A">
            <w:pPr>
              <w:pStyle w:val="ListParagraph"/>
            </w:pPr>
            <w:r>
              <w:t xml:space="preserve">The 2021/21 ESCAC Annual Report </w:t>
            </w:r>
            <w:r w:rsidR="00570635">
              <w:t>and self-assessment survey results were</w:t>
            </w:r>
            <w:r>
              <w:t xml:space="preserve"> circulated to members by email prior to the meeting.</w:t>
            </w:r>
          </w:p>
          <w:p w14:paraId="74C781FD" w14:textId="77777777" w:rsidR="009544FA" w:rsidRDefault="00570635" w:rsidP="009544FA">
            <w:pPr>
              <w:pStyle w:val="ListParagraph"/>
            </w:pPr>
            <w:r>
              <w:t xml:space="preserve">Members </w:t>
            </w:r>
            <w:r w:rsidR="009544FA">
              <w:t>agreed that it</w:t>
            </w:r>
            <w:r>
              <w:t xml:space="preserve"> </w:t>
            </w:r>
            <w:r w:rsidR="009544FA">
              <w:t>would be helpful to have more youth representation on ESCAC an</w:t>
            </w:r>
            <w:r w:rsidR="005D257A">
              <w:t xml:space="preserve">d </w:t>
            </w:r>
            <w:r w:rsidR="009544FA">
              <w:t xml:space="preserve">discussed </w:t>
            </w:r>
            <w:r>
              <w:t>opportunities to engage more youth in ESCAC activities.</w:t>
            </w:r>
            <w:r w:rsidR="009544FA">
              <w:t xml:space="preserve"> </w:t>
            </w:r>
          </w:p>
          <w:p w14:paraId="38B9304E" w14:textId="02E3B5F1" w:rsidR="005D257A" w:rsidRDefault="005D257A" w:rsidP="002D03A2">
            <w:pPr>
              <w:pStyle w:val="ListParagraph"/>
              <w:numPr>
                <w:ilvl w:val="0"/>
                <w:numId w:val="0"/>
              </w:numPr>
              <w:ind w:left="1491"/>
            </w:pPr>
          </w:p>
        </w:tc>
        <w:tc>
          <w:tcPr>
            <w:tcW w:w="2898" w:type="dxa"/>
          </w:tcPr>
          <w:p w14:paraId="337EFCB9" w14:textId="77777777" w:rsidR="00B46B8C" w:rsidRPr="009319DA" w:rsidRDefault="00B46B8C" w:rsidP="002045A6"/>
        </w:tc>
      </w:tr>
      <w:tr w:rsidR="002045A6" w14:paraId="6CB0E2D5" w14:textId="77777777" w:rsidTr="00707EB6">
        <w:tc>
          <w:tcPr>
            <w:tcW w:w="4872" w:type="dxa"/>
          </w:tcPr>
          <w:p w14:paraId="16E427EC" w14:textId="5A405F9D" w:rsidR="002045A6" w:rsidRDefault="002045A6" w:rsidP="002045A6">
            <w:r>
              <w:t>Member Updates/Other Announcements</w:t>
            </w:r>
          </w:p>
        </w:tc>
        <w:tc>
          <w:tcPr>
            <w:tcW w:w="6846" w:type="dxa"/>
          </w:tcPr>
          <w:p w14:paraId="49DC37DE" w14:textId="6FEBDA97" w:rsidR="002045A6" w:rsidRDefault="000073ED" w:rsidP="005D257A">
            <w:pPr>
              <w:pStyle w:val="ListParagraph"/>
            </w:pPr>
            <w:hyperlink r:id="rId9" w:history="1">
              <w:r w:rsidR="002045A6" w:rsidRPr="003064FD">
                <w:rPr>
                  <w:rStyle w:val="Hyperlink"/>
                </w:rPr>
                <w:t>TDSB/OISE Annual Environmental and Sustainability Education Conference</w:t>
              </w:r>
            </w:hyperlink>
            <w:r w:rsidR="002045A6">
              <w:t xml:space="preserve"> will be on November 19, 9am – 3pm.</w:t>
            </w:r>
          </w:p>
        </w:tc>
        <w:tc>
          <w:tcPr>
            <w:tcW w:w="2898" w:type="dxa"/>
          </w:tcPr>
          <w:p w14:paraId="20580B29" w14:textId="77777777" w:rsidR="002045A6" w:rsidRPr="009319DA" w:rsidRDefault="002045A6" w:rsidP="002045A6"/>
        </w:tc>
      </w:tr>
      <w:tr w:rsidR="002045A6" w14:paraId="733DBC7A" w14:textId="77777777" w:rsidTr="00707EB6">
        <w:tc>
          <w:tcPr>
            <w:tcW w:w="4872" w:type="dxa"/>
          </w:tcPr>
          <w:p w14:paraId="1782FFE7" w14:textId="77777777" w:rsidR="002045A6" w:rsidRPr="0075193E" w:rsidRDefault="002045A6" w:rsidP="002045A6">
            <w:bookmarkStart w:id="3" w:name="_Hlk85461425"/>
            <w:r>
              <w:t>Next Meeting Date</w:t>
            </w:r>
          </w:p>
        </w:tc>
        <w:tc>
          <w:tcPr>
            <w:tcW w:w="6846" w:type="dxa"/>
          </w:tcPr>
          <w:p w14:paraId="17A00136" w14:textId="7F1A2771" w:rsidR="002045A6" w:rsidRPr="009319DA" w:rsidRDefault="002045A6" w:rsidP="005D257A">
            <w:pPr>
              <w:pStyle w:val="ListParagraph"/>
            </w:pPr>
            <w:r>
              <w:t>January 10, 2023 – 6:30 pm via Zoom conferencing</w:t>
            </w:r>
          </w:p>
        </w:tc>
        <w:tc>
          <w:tcPr>
            <w:tcW w:w="2898" w:type="dxa"/>
          </w:tcPr>
          <w:p w14:paraId="705B223F" w14:textId="77777777" w:rsidR="002045A6" w:rsidRPr="009319DA" w:rsidRDefault="002045A6" w:rsidP="002045A6"/>
        </w:tc>
      </w:tr>
      <w:bookmarkEnd w:id="3"/>
      <w:tr w:rsidR="002045A6" w14:paraId="0A9FBA6A" w14:textId="77777777" w:rsidTr="00707EB6">
        <w:tc>
          <w:tcPr>
            <w:tcW w:w="4872" w:type="dxa"/>
            <w:shd w:val="clear" w:color="auto" w:fill="DBDBDB" w:themeFill="accent3" w:themeFillTint="66"/>
          </w:tcPr>
          <w:p w14:paraId="22747C3F" w14:textId="77777777" w:rsidR="002045A6" w:rsidRPr="002B02AD" w:rsidRDefault="002045A6" w:rsidP="002045A6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846" w:type="dxa"/>
            <w:shd w:val="clear" w:color="auto" w:fill="DBDBDB" w:themeFill="accent3" w:themeFillTint="66"/>
          </w:tcPr>
          <w:p w14:paraId="69CF5453" w14:textId="7252EF8B" w:rsidR="002045A6" w:rsidRPr="001A0BC5" w:rsidRDefault="002045A6" w:rsidP="005D257A">
            <w:pPr>
              <w:pStyle w:val="ListParagraph"/>
            </w:pPr>
            <w:r>
              <w:t>November 1, 2022 – 8:04 pm</w:t>
            </w:r>
          </w:p>
        </w:tc>
        <w:tc>
          <w:tcPr>
            <w:tcW w:w="2898" w:type="dxa"/>
            <w:shd w:val="clear" w:color="auto" w:fill="DBDBDB" w:themeFill="accent3" w:themeFillTint="66"/>
          </w:tcPr>
          <w:p w14:paraId="51E2F361" w14:textId="77777777" w:rsidR="002045A6" w:rsidRPr="001A0BC5" w:rsidRDefault="002045A6" w:rsidP="002045A6">
            <w:pPr>
              <w:rPr>
                <w:b/>
                <w:color w:val="000000" w:themeColor="text1"/>
              </w:rPr>
            </w:pPr>
          </w:p>
        </w:tc>
      </w:tr>
      <w:bookmarkEnd w:id="0"/>
    </w:tbl>
    <w:p w14:paraId="2CBF36BF" w14:textId="77777777" w:rsidR="007F0D39" w:rsidRPr="009319DA" w:rsidRDefault="007F0D39" w:rsidP="007F0D39">
      <w:pPr>
        <w:rPr>
          <w:b/>
        </w:rPr>
      </w:pPr>
    </w:p>
    <w:p w14:paraId="3EC4B60E" w14:textId="77777777" w:rsidR="00413258" w:rsidRPr="007F0D39" w:rsidRDefault="00413258" w:rsidP="007F0D39"/>
    <w:sectPr w:rsidR="00413258" w:rsidRPr="007F0D39" w:rsidSect="009319DA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9F29" w14:textId="77777777" w:rsidR="00A841F9" w:rsidRDefault="00D44A8C">
      <w:pPr>
        <w:spacing w:before="0" w:after="0" w:line="240" w:lineRule="auto"/>
      </w:pPr>
      <w:r>
        <w:separator/>
      </w:r>
    </w:p>
  </w:endnote>
  <w:endnote w:type="continuationSeparator" w:id="0">
    <w:p w14:paraId="35988718" w14:textId="77777777" w:rsidR="00A841F9" w:rsidRDefault="00D44A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724E3" w14:textId="77777777" w:rsidR="009319DA" w:rsidRDefault="00610EFF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01A3" w14:textId="77777777" w:rsidR="00A841F9" w:rsidRDefault="00D44A8C">
      <w:pPr>
        <w:spacing w:before="0" w:after="0" w:line="240" w:lineRule="auto"/>
      </w:pPr>
      <w:r>
        <w:separator/>
      </w:r>
    </w:p>
  </w:footnote>
  <w:footnote w:type="continuationSeparator" w:id="0">
    <w:p w14:paraId="164E41D9" w14:textId="77777777" w:rsidR="00A841F9" w:rsidRDefault="00D44A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9DE5" w14:textId="77777777" w:rsidR="00A66C9E" w:rsidRDefault="00610EFF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68CF8E3" wp14:editId="6934DA0E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EE2280" w14:textId="77777777" w:rsidR="00A66C9E" w:rsidRPr="00A66C9E" w:rsidRDefault="00610EFF" w:rsidP="00A66C9E">
    <w:pPr>
      <w:pStyle w:val="Header"/>
      <w:jc w:val="right"/>
      <w:rPr>
        <w:color w:val="2F5496" w:themeColor="accent1" w:themeShade="BF"/>
        <w:sz w:val="36"/>
        <w:szCs w:val="36"/>
      </w:rPr>
    </w:pPr>
    <w:r w:rsidRPr="00A66C9E">
      <w:rPr>
        <w:color w:val="2F5496" w:themeColor="accent1" w:themeShade="BF"/>
        <w:sz w:val="36"/>
        <w:szCs w:val="36"/>
      </w:rPr>
      <w:t>Community Advisory Committees</w:t>
    </w:r>
  </w:p>
  <w:p w14:paraId="24AE46D8" w14:textId="77777777" w:rsidR="00A66C9E" w:rsidRDefault="000073ED">
    <w:pPr>
      <w:pStyle w:val="Header"/>
    </w:pPr>
  </w:p>
  <w:p w14:paraId="4CE084BD" w14:textId="77777777" w:rsidR="00A66C9E" w:rsidRDefault="00007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D98"/>
    <w:multiLevelType w:val="hybridMultilevel"/>
    <w:tmpl w:val="A29E26CE"/>
    <w:lvl w:ilvl="0" w:tplc="677A2202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A1D3C"/>
    <w:multiLevelType w:val="hybridMultilevel"/>
    <w:tmpl w:val="97CCF14C"/>
    <w:lvl w:ilvl="0" w:tplc="7EDAEE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45E3F"/>
    <w:multiLevelType w:val="hybridMultilevel"/>
    <w:tmpl w:val="3202F4C0"/>
    <w:lvl w:ilvl="0" w:tplc="677A2202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C32E3"/>
    <w:multiLevelType w:val="hybridMultilevel"/>
    <w:tmpl w:val="3DBEF578"/>
    <w:lvl w:ilvl="0" w:tplc="A07AD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B3D9E"/>
    <w:multiLevelType w:val="hybridMultilevel"/>
    <w:tmpl w:val="BB70412A"/>
    <w:lvl w:ilvl="0" w:tplc="266EC0DE">
      <w:start w:val="2022"/>
      <w:numFmt w:val="bullet"/>
      <w:lvlText w:val="-"/>
      <w:lvlJc w:val="left"/>
      <w:pPr>
        <w:ind w:left="767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39"/>
    <w:rsid w:val="000073ED"/>
    <w:rsid w:val="00126AF5"/>
    <w:rsid w:val="001A10C3"/>
    <w:rsid w:val="0020045E"/>
    <w:rsid w:val="002045A6"/>
    <w:rsid w:val="00233BB7"/>
    <w:rsid w:val="0029136C"/>
    <w:rsid w:val="002D03A2"/>
    <w:rsid w:val="003C68F9"/>
    <w:rsid w:val="004002A2"/>
    <w:rsid w:val="00413258"/>
    <w:rsid w:val="00443CE6"/>
    <w:rsid w:val="00570635"/>
    <w:rsid w:val="00586ADB"/>
    <w:rsid w:val="005D257A"/>
    <w:rsid w:val="00607FF5"/>
    <w:rsid w:val="00610EFF"/>
    <w:rsid w:val="00702A9E"/>
    <w:rsid w:val="007F0D39"/>
    <w:rsid w:val="007F1F5B"/>
    <w:rsid w:val="0081610B"/>
    <w:rsid w:val="008658FA"/>
    <w:rsid w:val="00906C3D"/>
    <w:rsid w:val="009544FA"/>
    <w:rsid w:val="00983737"/>
    <w:rsid w:val="00985BD0"/>
    <w:rsid w:val="009D21AE"/>
    <w:rsid w:val="00A56FF1"/>
    <w:rsid w:val="00A841F9"/>
    <w:rsid w:val="00B37D88"/>
    <w:rsid w:val="00B46B8C"/>
    <w:rsid w:val="00BB548B"/>
    <w:rsid w:val="00BE7732"/>
    <w:rsid w:val="00C57E99"/>
    <w:rsid w:val="00D10A81"/>
    <w:rsid w:val="00D44A8C"/>
    <w:rsid w:val="00D63A3E"/>
    <w:rsid w:val="00D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0BCA"/>
  <w15:chartTrackingRefBased/>
  <w15:docId w15:val="{5FFFBE60-E691-4300-B452-6BF64EA4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39"/>
    <w:pPr>
      <w:widowControl w:val="0"/>
      <w:autoSpaceDE w:val="0"/>
      <w:autoSpaceDN w:val="0"/>
      <w:spacing w:before="120" w:after="120" w:line="288" w:lineRule="auto"/>
    </w:pPr>
    <w:rPr>
      <w:rFonts w:ascii="Arial" w:eastAsia="Myriad Pro" w:hAnsi="Arial" w:cs="Myriad Pro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D39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0D39"/>
    <w:pPr>
      <w:keepNext/>
      <w:keepLines/>
      <w:widowControl/>
      <w:shd w:val="clear" w:color="auto" w:fill="FFFFFF" w:themeFill="background1"/>
      <w:autoSpaceDE/>
      <w:autoSpaceDN/>
      <w:spacing w:before="200"/>
      <w:ind w:left="450" w:hanging="36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D39"/>
    <w:rPr>
      <w:rFonts w:ascii="Arial" w:eastAsia="Arial" w:hAnsi="Arial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0D39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  <w:lang w:val="en" w:eastAsia="en-CA"/>
    </w:rPr>
  </w:style>
  <w:style w:type="paragraph" w:styleId="ListParagraph">
    <w:name w:val="List Paragraph"/>
    <w:basedOn w:val="Normal"/>
    <w:autoRedefine/>
    <w:uiPriority w:val="1"/>
    <w:qFormat/>
    <w:rsid w:val="009544FA"/>
    <w:pPr>
      <w:numPr>
        <w:numId w:val="5"/>
      </w:numPr>
      <w:spacing w:before="40" w:after="40" w:line="240" w:lineRule="auto"/>
      <w:ind w:left="1491"/>
    </w:pPr>
  </w:style>
  <w:style w:type="paragraph" w:styleId="Header">
    <w:name w:val="header"/>
    <w:basedOn w:val="Normal"/>
    <w:link w:val="HeaderChar"/>
    <w:uiPriority w:val="99"/>
    <w:unhideWhenUsed/>
    <w:rsid w:val="007F0D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39"/>
    <w:rPr>
      <w:rFonts w:ascii="Arial" w:eastAsia="Myriad Pro" w:hAnsi="Arial" w:cs="Myriad Pro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0D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39"/>
    <w:rPr>
      <w:rFonts w:ascii="Arial" w:eastAsia="Myriad Pro" w:hAnsi="Arial" w:cs="Myriad Pro"/>
      <w:sz w:val="24"/>
      <w:lang w:val="en-US"/>
    </w:rPr>
  </w:style>
  <w:style w:type="table" w:styleId="TableGrid">
    <w:name w:val="Table Grid"/>
    <w:basedOn w:val="TableNormal"/>
    <w:uiPriority w:val="59"/>
    <w:rsid w:val="007F0D39"/>
    <w:pPr>
      <w:spacing w:after="0" w:line="240" w:lineRule="auto"/>
    </w:pPr>
    <w:rPr>
      <w:rFonts w:eastAsia="Myriad Pro"/>
      <w:lang w:val="en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D3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F0D39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F0D39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F0D39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E7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732"/>
    <w:pPr>
      <w:widowControl/>
      <w:autoSpaceDE/>
      <w:autoSpaceDN/>
      <w:spacing w:after="240" w:line="240" w:lineRule="auto"/>
    </w:pPr>
    <w:rPr>
      <w:rFonts w:eastAsia="Calibri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732"/>
    <w:rPr>
      <w:rFonts w:ascii="Arial" w:eastAsia="Calibri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6A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57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57A"/>
    <w:pPr>
      <w:widowControl w:val="0"/>
      <w:autoSpaceDE w:val="0"/>
      <w:autoSpaceDN w:val="0"/>
      <w:spacing w:after="120"/>
    </w:pPr>
    <w:rPr>
      <w:rFonts w:eastAsia="Myriad Pro" w:cs="Myriad Pr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57A"/>
    <w:rPr>
      <w:rFonts w:ascii="Arial" w:eastAsia="Myriad Pro" w:hAnsi="Arial" w:cs="Myriad Pro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D257A"/>
    <w:pPr>
      <w:spacing w:after="0" w:line="240" w:lineRule="auto"/>
    </w:pPr>
    <w:rPr>
      <w:rFonts w:ascii="Arial" w:eastAsia="Myriad Pro" w:hAnsi="Arial" w:cs="Myriad Pr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pam_miller/2x0qb525ij0p5i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ise.utoronto.ca/home/scan/events/ese-confer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Kokinakis, Mary</cp:lastModifiedBy>
  <cp:revision>2</cp:revision>
  <dcterms:created xsi:type="dcterms:W3CDTF">2022-11-17T22:02:00Z</dcterms:created>
  <dcterms:modified xsi:type="dcterms:W3CDTF">2022-11-17T22:02:00Z</dcterms:modified>
</cp:coreProperties>
</file>