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2337" w14:textId="77777777" w:rsidR="00D31843" w:rsidRPr="000E7CA1" w:rsidRDefault="00D31843" w:rsidP="000E7CA1">
      <w:pPr>
        <w:spacing w:before="240" w:after="240" w:line="240" w:lineRule="auto"/>
        <w:jc w:val="center"/>
        <w:rPr>
          <w:rFonts w:ascii="Arial" w:eastAsia="Times New Roman" w:hAnsi="Arial" w:cs="Arial"/>
          <w:sz w:val="24"/>
          <w:szCs w:val="24"/>
          <w:lang w:eastAsia="en-CA"/>
        </w:rPr>
      </w:pPr>
      <w:r w:rsidRPr="000E7CA1">
        <w:rPr>
          <w:rFonts w:ascii="Arial" w:eastAsia="Times New Roman" w:hAnsi="Arial" w:cs="Arial"/>
          <w:b/>
          <w:bCs/>
          <w:color w:val="000000"/>
          <w:sz w:val="24"/>
          <w:szCs w:val="24"/>
          <w:lang w:eastAsia="en-CA"/>
        </w:rPr>
        <w:t>SEAC Members Selection Process 2023-2027</w:t>
      </w:r>
    </w:p>
    <w:p w14:paraId="2F4CC12F" w14:textId="4C7FA63E" w:rsidR="00D31843" w:rsidRPr="000E7CA1" w:rsidRDefault="00D31843" w:rsidP="00D31843">
      <w:p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 xml:space="preserve">In accordance with the Education Act: Regulation 464/97, Special Education Advisory Committees each school board is required to establish a </w:t>
      </w:r>
      <w:r w:rsidR="00F225D6" w:rsidRPr="000E7CA1">
        <w:rPr>
          <w:rFonts w:ascii="Arial" w:eastAsia="Times New Roman" w:hAnsi="Arial" w:cs="Arial"/>
          <w:color w:val="000000"/>
          <w:sz w:val="24"/>
          <w:szCs w:val="24"/>
          <w:lang w:eastAsia="en-CA"/>
        </w:rPr>
        <w:t>S</w:t>
      </w:r>
      <w:r w:rsidRPr="000E7CA1">
        <w:rPr>
          <w:rFonts w:ascii="Arial" w:eastAsia="Times New Roman" w:hAnsi="Arial" w:cs="Arial"/>
          <w:color w:val="000000"/>
          <w:sz w:val="24"/>
          <w:szCs w:val="24"/>
          <w:lang w:eastAsia="en-CA"/>
        </w:rPr>
        <w:t xml:space="preserve">pecial </w:t>
      </w:r>
      <w:r w:rsidR="00F225D6" w:rsidRPr="000E7CA1">
        <w:rPr>
          <w:rFonts w:ascii="Arial" w:eastAsia="Times New Roman" w:hAnsi="Arial" w:cs="Arial"/>
          <w:color w:val="000000"/>
          <w:sz w:val="24"/>
          <w:szCs w:val="24"/>
          <w:lang w:eastAsia="en-CA"/>
        </w:rPr>
        <w:t>E</w:t>
      </w:r>
      <w:r w:rsidRPr="000E7CA1">
        <w:rPr>
          <w:rFonts w:ascii="Arial" w:eastAsia="Times New Roman" w:hAnsi="Arial" w:cs="Arial"/>
          <w:color w:val="000000"/>
          <w:sz w:val="24"/>
          <w:szCs w:val="24"/>
          <w:lang w:eastAsia="en-CA"/>
        </w:rPr>
        <w:t xml:space="preserve">ducation </w:t>
      </w:r>
      <w:r w:rsidR="00F225D6" w:rsidRPr="000E7CA1">
        <w:rPr>
          <w:rFonts w:ascii="Arial" w:eastAsia="Times New Roman" w:hAnsi="Arial" w:cs="Arial"/>
          <w:color w:val="000000"/>
          <w:sz w:val="24"/>
          <w:szCs w:val="24"/>
          <w:lang w:eastAsia="en-CA"/>
        </w:rPr>
        <w:t>A</w:t>
      </w:r>
      <w:r w:rsidRPr="000E7CA1">
        <w:rPr>
          <w:rFonts w:ascii="Arial" w:eastAsia="Times New Roman" w:hAnsi="Arial" w:cs="Arial"/>
          <w:color w:val="000000"/>
          <w:sz w:val="24"/>
          <w:szCs w:val="24"/>
          <w:lang w:eastAsia="en-CA"/>
        </w:rPr>
        <w:t xml:space="preserve">dvisory </w:t>
      </w:r>
      <w:r w:rsidR="00F225D6" w:rsidRPr="000E7CA1">
        <w:rPr>
          <w:rFonts w:ascii="Arial" w:eastAsia="Times New Roman" w:hAnsi="Arial" w:cs="Arial"/>
          <w:color w:val="000000"/>
          <w:sz w:val="24"/>
          <w:szCs w:val="24"/>
          <w:lang w:eastAsia="en-CA"/>
        </w:rPr>
        <w:t>C</w:t>
      </w:r>
      <w:r w:rsidRPr="000E7CA1">
        <w:rPr>
          <w:rFonts w:ascii="Arial" w:eastAsia="Times New Roman" w:hAnsi="Arial" w:cs="Arial"/>
          <w:color w:val="000000"/>
          <w:sz w:val="24"/>
          <w:szCs w:val="24"/>
          <w:lang w:eastAsia="en-CA"/>
        </w:rPr>
        <w:t>ommittee.</w:t>
      </w:r>
    </w:p>
    <w:p w14:paraId="2E9BF780" w14:textId="2DFE49EC" w:rsidR="00D31843" w:rsidRPr="000E7CA1" w:rsidRDefault="00F225D6" w:rsidP="00D31843">
      <w:p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 xml:space="preserve">SEAC </w:t>
      </w:r>
      <w:r w:rsidR="00D31843" w:rsidRPr="000E7CA1">
        <w:rPr>
          <w:rFonts w:ascii="Arial" w:eastAsia="Times New Roman" w:hAnsi="Arial" w:cs="Arial"/>
          <w:color w:val="000000"/>
          <w:sz w:val="24"/>
          <w:szCs w:val="24"/>
          <w:lang w:eastAsia="en-CA"/>
        </w:rPr>
        <w:t>Membership:</w:t>
      </w:r>
    </w:p>
    <w:p w14:paraId="3072B1A8" w14:textId="676BCF58" w:rsidR="00D31843" w:rsidRPr="000E7CA1" w:rsidRDefault="00D31843" w:rsidP="00D31843">
      <w:p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 xml:space="preserve">The composition of SEAC is outlined in the Education Act and </w:t>
      </w:r>
      <w:r w:rsidR="00F225D6" w:rsidRPr="000E7CA1">
        <w:rPr>
          <w:rFonts w:ascii="Arial" w:eastAsia="Times New Roman" w:hAnsi="Arial" w:cs="Arial"/>
          <w:color w:val="000000"/>
          <w:sz w:val="24"/>
          <w:szCs w:val="24"/>
          <w:lang w:eastAsia="en-CA"/>
        </w:rPr>
        <w:t xml:space="preserve">in TDSB </w:t>
      </w:r>
      <w:r w:rsidRPr="000E7CA1">
        <w:rPr>
          <w:rFonts w:ascii="Arial" w:eastAsia="Times New Roman" w:hAnsi="Arial" w:cs="Arial"/>
          <w:color w:val="000000"/>
          <w:sz w:val="24"/>
          <w:szCs w:val="24"/>
          <w:lang w:eastAsia="en-CA"/>
        </w:rPr>
        <w:t>is composed of the following:</w:t>
      </w:r>
    </w:p>
    <w:p w14:paraId="24309448" w14:textId="77777777" w:rsidR="000E7CA1" w:rsidRPr="000E7CA1" w:rsidRDefault="00D31843" w:rsidP="00D31843">
      <w:pPr>
        <w:pStyle w:val="ListParagraph"/>
        <w:numPr>
          <w:ilvl w:val="0"/>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Representatives and alternates for these representatives from up to 12 local associations that operate locally within the jurisdiction of the board, as nominated by the local association and appointed by the board, who must be:</w:t>
      </w:r>
    </w:p>
    <w:p w14:paraId="741AB395" w14:textId="77777777" w:rsidR="000E7CA1" w:rsidRPr="000E7CA1" w:rsidRDefault="00D31843" w:rsidP="00D31843">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a Canadian citizen;</w:t>
      </w:r>
    </w:p>
    <w:p w14:paraId="5C8994B0" w14:textId="77777777" w:rsidR="000E7CA1" w:rsidRPr="000E7CA1" w:rsidRDefault="00D31843" w:rsidP="00D31843">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Of the full age of 18 years;</w:t>
      </w:r>
    </w:p>
    <w:p w14:paraId="3EB495C1" w14:textId="77777777" w:rsidR="000E7CA1" w:rsidRPr="000E7CA1" w:rsidRDefault="00D31843" w:rsidP="00D31843">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A resident within the area of jurisdiction of the board;</w:t>
      </w:r>
    </w:p>
    <w:p w14:paraId="0CE4A02A" w14:textId="77777777" w:rsidR="000E7CA1" w:rsidRPr="000E7CA1" w:rsidRDefault="00D31843" w:rsidP="00D31843">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 xml:space="preserve">A </w:t>
      </w:r>
      <w:proofErr w:type="gramStart"/>
      <w:r w:rsidRPr="000E7CA1">
        <w:rPr>
          <w:rFonts w:ascii="Arial" w:eastAsia="Times New Roman" w:hAnsi="Arial" w:cs="Arial"/>
          <w:color w:val="000000"/>
          <w:sz w:val="24"/>
          <w:szCs w:val="24"/>
          <w:lang w:eastAsia="en-CA"/>
        </w:rPr>
        <w:t>public school</w:t>
      </w:r>
      <w:proofErr w:type="gramEnd"/>
      <w:r w:rsidRPr="000E7CA1">
        <w:rPr>
          <w:rFonts w:ascii="Arial" w:eastAsia="Times New Roman" w:hAnsi="Arial" w:cs="Arial"/>
          <w:color w:val="000000"/>
          <w:sz w:val="24"/>
          <w:szCs w:val="24"/>
          <w:lang w:eastAsia="en-CA"/>
        </w:rPr>
        <w:t xml:space="preserve"> elector; and</w:t>
      </w:r>
    </w:p>
    <w:p w14:paraId="76A291A8" w14:textId="3ECCEDD4" w:rsidR="000E7CA1" w:rsidRPr="000E7CA1" w:rsidRDefault="00D31843" w:rsidP="000E7CA1">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Not employed by the board in which the member resides;</w:t>
      </w:r>
    </w:p>
    <w:p w14:paraId="56CCBFF2" w14:textId="77777777" w:rsidR="000E7CA1" w:rsidRPr="000E7CA1" w:rsidRDefault="000E7CA1" w:rsidP="000E7CA1">
      <w:pPr>
        <w:pStyle w:val="ListParagraph"/>
        <w:spacing w:before="240" w:after="240" w:line="240" w:lineRule="auto"/>
        <w:ind w:left="1440"/>
        <w:rPr>
          <w:rFonts w:ascii="Arial" w:eastAsia="Times New Roman" w:hAnsi="Arial" w:cs="Arial"/>
          <w:sz w:val="24"/>
          <w:szCs w:val="24"/>
          <w:lang w:eastAsia="en-CA"/>
        </w:rPr>
      </w:pPr>
    </w:p>
    <w:p w14:paraId="31B3D1D7" w14:textId="77777777" w:rsidR="000E7CA1" w:rsidRPr="000E7CA1" w:rsidRDefault="00D31843" w:rsidP="00D31843">
      <w:pPr>
        <w:pStyle w:val="ListParagraph"/>
        <w:numPr>
          <w:ilvl w:val="0"/>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The local associations must be affiliated with associations or organizations that:</w:t>
      </w:r>
    </w:p>
    <w:p w14:paraId="7A07B186" w14:textId="77777777" w:rsidR="000E7CA1" w:rsidRPr="000E7CA1" w:rsidRDefault="00D31843" w:rsidP="00D31843">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are incorporated;</w:t>
      </w:r>
    </w:p>
    <w:p w14:paraId="439F5B0D" w14:textId="77777777" w:rsidR="000E7CA1" w:rsidRPr="000E7CA1" w:rsidRDefault="00D31843" w:rsidP="00D31843">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operate throughout Ontario;</w:t>
      </w:r>
    </w:p>
    <w:p w14:paraId="2AD75166" w14:textId="77777777" w:rsidR="000E7CA1" w:rsidRPr="000E7CA1" w:rsidRDefault="00D31843" w:rsidP="00D31843">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further the interests and well-being of one or more groups of exceptional children or adults; and,</w:t>
      </w:r>
    </w:p>
    <w:p w14:paraId="3B17449A" w14:textId="515E12B7" w:rsidR="000E7CA1" w:rsidRPr="000E7CA1" w:rsidRDefault="00D31843" w:rsidP="000E7CA1">
      <w:pPr>
        <w:pStyle w:val="ListParagraph"/>
        <w:numPr>
          <w:ilvl w:val="1"/>
          <w:numId w:val="1"/>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do not represent professional educators</w:t>
      </w:r>
    </w:p>
    <w:p w14:paraId="2100E6CD" w14:textId="77777777" w:rsidR="000E7CA1" w:rsidRPr="000E7CA1" w:rsidRDefault="000E7CA1" w:rsidP="000E7CA1">
      <w:pPr>
        <w:pStyle w:val="ListParagraph"/>
        <w:spacing w:before="240" w:after="240" w:line="240" w:lineRule="auto"/>
        <w:ind w:left="1440"/>
        <w:rPr>
          <w:rFonts w:ascii="Arial" w:eastAsia="Times New Roman" w:hAnsi="Arial" w:cs="Arial"/>
          <w:sz w:val="24"/>
          <w:szCs w:val="24"/>
          <w:lang w:eastAsia="en-CA"/>
        </w:rPr>
      </w:pPr>
    </w:p>
    <w:p w14:paraId="6A92E04F" w14:textId="07EC9044" w:rsidR="000E7CA1" w:rsidRPr="000E7CA1" w:rsidRDefault="00D31843" w:rsidP="00D31843">
      <w:pPr>
        <w:pStyle w:val="ListParagraph"/>
        <w:numPr>
          <w:ilvl w:val="0"/>
          <w:numId w:val="2"/>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3 board trustees.</w:t>
      </w:r>
    </w:p>
    <w:p w14:paraId="19674304" w14:textId="77777777" w:rsidR="000E7CA1" w:rsidRPr="000E7CA1" w:rsidRDefault="000E7CA1" w:rsidP="000E7CA1">
      <w:pPr>
        <w:pStyle w:val="ListParagraph"/>
        <w:spacing w:before="240" w:after="240" w:line="240" w:lineRule="auto"/>
        <w:rPr>
          <w:rFonts w:ascii="Arial" w:eastAsia="Times New Roman" w:hAnsi="Arial" w:cs="Arial"/>
          <w:sz w:val="24"/>
          <w:szCs w:val="24"/>
          <w:lang w:eastAsia="en-CA"/>
        </w:rPr>
      </w:pPr>
    </w:p>
    <w:p w14:paraId="5B253A0D" w14:textId="17BCB3D3" w:rsidR="000E7CA1" w:rsidRPr="000E7CA1" w:rsidRDefault="00D31843" w:rsidP="000E7CA1">
      <w:pPr>
        <w:pStyle w:val="ListParagraph"/>
        <w:numPr>
          <w:ilvl w:val="0"/>
          <w:numId w:val="2"/>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One or two persons to represent the interests of Indigenous students attending board schools under a tuition agreement. (Where a board has one member appointed in accordance with a regulation made under section 188 of the Act)</w:t>
      </w:r>
    </w:p>
    <w:p w14:paraId="102C9724" w14:textId="77777777" w:rsidR="000E7CA1" w:rsidRPr="000E7CA1" w:rsidRDefault="000E7CA1" w:rsidP="000E7CA1">
      <w:pPr>
        <w:pStyle w:val="ListParagraph"/>
        <w:spacing w:before="240" w:after="240" w:line="240" w:lineRule="auto"/>
        <w:rPr>
          <w:rFonts w:ascii="Arial" w:eastAsia="Times New Roman" w:hAnsi="Arial" w:cs="Arial"/>
          <w:sz w:val="24"/>
          <w:szCs w:val="24"/>
          <w:lang w:eastAsia="en-CA"/>
        </w:rPr>
      </w:pPr>
    </w:p>
    <w:p w14:paraId="5884DB06" w14:textId="3D4B6348" w:rsidR="000E7CA1" w:rsidRPr="000E7CA1" w:rsidRDefault="00D31843" w:rsidP="00D31843">
      <w:pPr>
        <w:pStyle w:val="ListParagraph"/>
        <w:numPr>
          <w:ilvl w:val="0"/>
          <w:numId w:val="2"/>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8 additional members (community representatives – 2 from each Learning Centre) are appointed who are neither representatives of a local association nor trustees of another committee of the board.</w:t>
      </w:r>
    </w:p>
    <w:p w14:paraId="675DC4C8" w14:textId="77777777" w:rsidR="000E7CA1" w:rsidRPr="000E7CA1" w:rsidRDefault="000E7CA1" w:rsidP="000E7CA1">
      <w:pPr>
        <w:pStyle w:val="ListParagraph"/>
        <w:spacing w:before="240" w:after="240" w:line="240" w:lineRule="auto"/>
        <w:rPr>
          <w:rFonts w:ascii="Arial" w:eastAsia="Times New Roman" w:hAnsi="Arial" w:cs="Arial"/>
          <w:sz w:val="24"/>
          <w:szCs w:val="24"/>
          <w:lang w:eastAsia="en-CA"/>
        </w:rPr>
      </w:pPr>
    </w:p>
    <w:p w14:paraId="70EA8144" w14:textId="3C3C55CE" w:rsidR="00F225D6" w:rsidRPr="000E7CA1" w:rsidRDefault="00D31843" w:rsidP="00D31843">
      <w:pPr>
        <w:pStyle w:val="ListParagraph"/>
        <w:numPr>
          <w:ilvl w:val="0"/>
          <w:numId w:val="2"/>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Alternates, for local association members and community representatives, are able to attend and participate in SEAC meetings if the local association member cannot be present.</w:t>
      </w:r>
    </w:p>
    <w:p w14:paraId="38DFCEDD" w14:textId="77777777" w:rsidR="000E7CA1" w:rsidRPr="000E7CA1" w:rsidRDefault="000E7CA1" w:rsidP="000E7CA1">
      <w:pPr>
        <w:pStyle w:val="ListParagraph"/>
        <w:rPr>
          <w:rFonts w:ascii="Arial" w:eastAsia="Times New Roman" w:hAnsi="Arial" w:cs="Arial"/>
          <w:sz w:val="24"/>
          <w:szCs w:val="24"/>
          <w:lang w:eastAsia="en-CA"/>
        </w:rPr>
      </w:pPr>
    </w:p>
    <w:p w14:paraId="71B49C5F" w14:textId="69574D72" w:rsidR="000E7CA1" w:rsidRDefault="000E7CA1" w:rsidP="000E7CA1">
      <w:pPr>
        <w:spacing w:before="240" w:after="240" w:line="240" w:lineRule="auto"/>
        <w:rPr>
          <w:rFonts w:ascii="Arial" w:eastAsia="Times New Roman" w:hAnsi="Arial" w:cs="Arial"/>
          <w:sz w:val="24"/>
          <w:szCs w:val="24"/>
          <w:lang w:eastAsia="en-CA"/>
        </w:rPr>
      </w:pPr>
    </w:p>
    <w:p w14:paraId="5543106A" w14:textId="77777777" w:rsidR="000E7CA1" w:rsidRPr="000E7CA1" w:rsidRDefault="000E7CA1" w:rsidP="000E7CA1">
      <w:pPr>
        <w:spacing w:before="240" w:after="240" w:line="240" w:lineRule="auto"/>
        <w:rPr>
          <w:rFonts w:ascii="Arial" w:eastAsia="Times New Roman" w:hAnsi="Arial" w:cs="Arial"/>
          <w:sz w:val="24"/>
          <w:szCs w:val="24"/>
          <w:lang w:eastAsia="en-CA"/>
        </w:rPr>
      </w:pPr>
    </w:p>
    <w:p w14:paraId="510D9BD9" w14:textId="77777777" w:rsidR="000E7CA1" w:rsidRDefault="00D31843" w:rsidP="000E7CA1">
      <w:pPr>
        <w:spacing w:before="240" w:after="240" w:line="240" w:lineRule="auto"/>
        <w:ind w:left="-284"/>
        <w:jc w:val="center"/>
        <w:rPr>
          <w:rFonts w:ascii="Arial" w:eastAsia="Times New Roman" w:hAnsi="Arial" w:cs="Arial"/>
          <w:sz w:val="24"/>
          <w:szCs w:val="24"/>
          <w:lang w:eastAsia="en-CA"/>
        </w:rPr>
      </w:pPr>
      <w:r w:rsidRPr="000E7CA1">
        <w:rPr>
          <w:rFonts w:ascii="Arial" w:eastAsia="Times New Roman" w:hAnsi="Arial" w:cs="Arial"/>
          <w:b/>
          <w:bCs/>
          <w:color w:val="000000"/>
          <w:sz w:val="24"/>
          <w:szCs w:val="24"/>
          <w:lang w:eastAsia="en-CA"/>
        </w:rPr>
        <w:lastRenderedPageBreak/>
        <w:t>Selection Process for Community Membership</w:t>
      </w:r>
      <w:r w:rsidR="00126458" w:rsidRPr="000E7CA1">
        <w:rPr>
          <w:rFonts w:ascii="Arial" w:eastAsia="Times New Roman" w:hAnsi="Arial" w:cs="Arial"/>
          <w:b/>
          <w:bCs/>
          <w:color w:val="000000"/>
          <w:sz w:val="24"/>
          <w:szCs w:val="24"/>
          <w:lang w:eastAsia="en-CA"/>
        </w:rPr>
        <w:t xml:space="preserve"> – Application Deadline Oct. 15, 2022</w:t>
      </w:r>
    </w:p>
    <w:p w14:paraId="48FC3889" w14:textId="77777777" w:rsidR="000E7CA1" w:rsidRPr="000E7CA1" w:rsidRDefault="00D31843" w:rsidP="00D31843">
      <w:pPr>
        <w:pStyle w:val="ListParagraph"/>
        <w:numPr>
          <w:ilvl w:val="0"/>
          <w:numId w:val="3"/>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Interested community members complete an application form available online (</w:t>
      </w:r>
      <w:hyperlink r:id="rId7" w:history="1">
        <w:r w:rsidRPr="000E7CA1">
          <w:rPr>
            <w:rFonts w:ascii="Arial" w:eastAsia="Times New Roman" w:hAnsi="Arial" w:cs="Arial"/>
            <w:color w:val="1155CC"/>
            <w:sz w:val="24"/>
            <w:szCs w:val="24"/>
            <w:u w:val="single"/>
            <w:lang w:eastAsia="en-CA"/>
          </w:rPr>
          <w:t>https://www.tdsb.on.ca/Community/How-to-Get-Involved/Advisory-Committees/Statutory-Advisory-Committees/Special-Education-Advisory-Committee</w:t>
        </w:r>
      </w:hyperlink>
      <w:r w:rsidRPr="000E7CA1">
        <w:rPr>
          <w:rFonts w:ascii="Arial" w:eastAsia="Times New Roman" w:hAnsi="Arial" w:cs="Arial"/>
          <w:color w:val="000000"/>
          <w:sz w:val="24"/>
          <w:szCs w:val="24"/>
          <w:lang w:eastAsia="en-CA"/>
        </w:rPr>
        <w:t>) or by request from the SEAC Liaison (</w:t>
      </w:r>
      <w:hyperlink r:id="rId8" w:history="1">
        <w:r w:rsidRPr="000E7CA1">
          <w:rPr>
            <w:rFonts w:ascii="Arial" w:eastAsia="Times New Roman" w:hAnsi="Arial" w:cs="Arial"/>
            <w:color w:val="1155CC"/>
            <w:sz w:val="24"/>
            <w:szCs w:val="24"/>
            <w:u w:val="single"/>
            <w:lang w:eastAsia="en-CA"/>
          </w:rPr>
          <w:t>lianne.dixon@tdsb.on.ca</w:t>
        </w:r>
      </w:hyperlink>
      <w:r w:rsidRPr="000E7CA1">
        <w:rPr>
          <w:rFonts w:ascii="Arial" w:eastAsia="Times New Roman" w:hAnsi="Arial" w:cs="Arial"/>
          <w:color w:val="000000"/>
          <w:sz w:val="24"/>
          <w:szCs w:val="24"/>
          <w:lang w:eastAsia="en-CA"/>
        </w:rPr>
        <w:t>) . </w:t>
      </w:r>
    </w:p>
    <w:p w14:paraId="382C8EC6" w14:textId="77777777" w:rsidR="000E7CA1" w:rsidRPr="000E7CA1" w:rsidRDefault="000E7CA1" w:rsidP="000E7CA1">
      <w:pPr>
        <w:pStyle w:val="ListParagraph"/>
        <w:spacing w:before="240" w:after="240" w:line="240" w:lineRule="auto"/>
        <w:ind w:left="436"/>
        <w:rPr>
          <w:rFonts w:ascii="Arial" w:eastAsia="Times New Roman" w:hAnsi="Arial" w:cs="Arial"/>
          <w:sz w:val="24"/>
          <w:szCs w:val="24"/>
          <w:lang w:eastAsia="en-CA"/>
        </w:rPr>
      </w:pPr>
    </w:p>
    <w:p w14:paraId="0521552F" w14:textId="77777777" w:rsidR="000E7CA1" w:rsidRPr="000E7CA1" w:rsidRDefault="00D31843" w:rsidP="00D31843">
      <w:pPr>
        <w:pStyle w:val="ListParagraph"/>
        <w:numPr>
          <w:ilvl w:val="0"/>
          <w:numId w:val="3"/>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The application, along with any additional relevant information</w:t>
      </w:r>
      <w:r w:rsidR="00F225D6" w:rsidRPr="000E7CA1">
        <w:rPr>
          <w:rFonts w:ascii="Arial" w:eastAsia="Times New Roman" w:hAnsi="Arial" w:cs="Arial"/>
          <w:color w:val="000000"/>
          <w:sz w:val="24"/>
          <w:szCs w:val="24"/>
          <w:lang w:eastAsia="en-CA"/>
        </w:rPr>
        <w:t>,</w:t>
      </w:r>
      <w:r w:rsidRPr="000E7CA1">
        <w:rPr>
          <w:rFonts w:ascii="Arial" w:eastAsia="Times New Roman" w:hAnsi="Arial" w:cs="Arial"/>
          <w:color w:val="000000"/>
          <w:sz w:val="24"/>
          <w:szCs w:val="24"/>
          <w:lang w:eastAsia="en-CA"/>
        </w:rPr>
        <w:t xml:space="preserve"> should be submitted electronically to </w:t>
      </w:r>
      <w:hyperlink r:id="rId9" w:history="1">
        <w:r w:rsidRPr="000E7CA1">
          <w:rPr>
            <w:rFonts w:ascii="Arial" w:eastAsia="Times New Roman" w:hAnsi="Arial" w:cs="Arial"/>
            <w:color w:val="1155CC"/>
            <w:sz w:val="24"/>
            <w:szCs w:val="24"/>
            <w:u w:val="single"/>
            <w:lang w:eastAsia="en-CA"/>
          </w:rPr>
          <w:t>lianne.dixon@tdsb.on.ca</w:t>
        </w:r>
      </w:hyperlink>
      <w:r w:rsidRPr="000E7CA1">
        <w:rPr>
          <w:rFonts w:ascii="Arial" w:eastAsia="Times New Roman" w:hAnsi="Arial" w:cs="Arial"/>
          <w:color w:val="000000"/>
          <w:sz w:val="24"/>
          <w:szCs w:val="24"/>
          <w:lang w:eastAsia="en-CA"/>
        </w:rPr>
        <w:t xml:space="preserve"> or by mail to SEAC Liaison, Special Education</w:t>
      </w:r>
      <w:r w:rsidR="00F225D6" w:rsidRPr="000E7CA1">
        <w:rPr>
          <w:rFonts w:ascii="Arial" w:eastAsia="Times New Roman" w:hAnsi="Arial" w:cs="Arial"/>
          <w:color w:val="000000"/>
          <w:sz w:val="24"/>
          <w:szCs w:val="24"/>
          <w:lang w:eastAsia="en-CA"/>
        </w:rPr>
        <w:t xml:space="preserve"> and Inclusion, 5th</w:t>
      </w:r>
      <w:r w:rsidRPr="000E7CA1">
        <w:rPr>
          <w:rFonts w:ascii="Arial" w:eastAsia="Times New Roman" w:hAnsi="Arial" w:cs="Arial"/>
          <w:color w:val="000000"/>
          <w:sz w:val="24"/>
          <w:szCs w:val="24"/>
          <w:lang w:eastAsia="en-CA"/>
        </w:rPr>
        <w:t xml:space="preserve"> floor, 5050 Yonge Street, Toronto, </w:t>
      </w:r>
      <w:proofErr w:type="gramStart"/>
      <w:r w:rsidRPr="000E7CA1">
        <w:rPr>
          <w:rFonts w:ascii="Arial" w:eastAsia="Times New Roman" w:hAnsi="Arial" w:cs="Arial"/>
          <w:color w:val="000000"/>
          <w:sz w:val="24"/>
          <w:szCs w:val="24"/>
          <w:lang w:eastAsia="en-CA"/>
        </w:rPr>
        <w:t>Ontario  M</w:t>
      </w:r>
      <w:proofErr w:type="gramEnd"/>
      <w:r w:rsidRPr="000E7CA1">
        <w:rPr>
          <w:rFonts w:ascii="Arial" w:eastAsia="Times New Roman" w:hAnsi="Arial" w:cs="Arial"/>
          <w:color w:val="000000"/>
          <w:sz w:val="24"/>
          <w:szCs w:val="24"/>
          <w:lang w:eastAsia="en-CA"/>
        </w:rPr>
        <w:t>2N 5N8</w:t>
      </w:r>
    </w:p>
    <w:p w14:paraId="6ACD944F" w14:textId="77777777" w:rsidR="000E7CA1" w:rsidRPr="000E7CA1" w:rsidRDefault="000E7CA1" w:rsidP="000E7CA1">
      <w:pPr>
        <w:pStyle w:val="ListParagraph"/>
        <w:rPr>
          <w:rFonts w:ascii="Arial" w:eastAsia="Times New Roman" w:hAnsi="Arial" w:cs="Arial"/>
          <w:color w:val="000000"/>
          <w:sz w:val="24"/>
          <w:szCs w:val="24"/>
          <w:lang w:eastAsia="en-CA"/>
        </w:rPr>
      </w:pPr>
    </w:p>
    <w:p w14:paraId="723E38C4" w14:textId="77777777" w:rsidR="000E7CA1" w:rsidRPr="000E7CA1" w:rsidRDefault="00D31843" w:rsidP="00D31843">
      <w:pPr>
        <w:pStyle w:val="ListParagraph"/>
        <w:numPr>
          <w:ilvl w:val="0"/>
          <w:numId w:val="3"/>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Applications/expressions of interest are reviewed by a sub-committee consisting of the following staff:</w:t>
      </w:r>
    </w:p>
    <w:p w14:paraId="58149ED4" w14:textId="77777777" w:rsidR="000E7CA1" w:rsidRPr="000E7CA1" w:rsidRDefault="000E7CA1" w:rsidP="000E7CA1">
      <w:pPr>
        <w:pStyle w:val="ListParagraph"/>
        <w:rPr>
          <w:rFonts w:ascii="Arial" w:eastAsia="Times New Roman" w:hAnsi="Arial" w:cs="Arial"/>
          <w:color w:val="000000"/>
          <w:sz w:val="24"/>
          <w:szCs w:val="24"/>
          <w:lang w:eastAsia="en-CA"/>
        </w:rPr>
      </w:pPr>
    </w:p>
    <w:p w14:paraId="5C033E45" w14:textId="0C836C5A" w:rsidR="000E7CA1" w:rsidRPr="000E7CA1" w:rsidRDefault="00D31843" w:rsidP="000E7CA1">
      <w:pPr>
        <w:pStyle w:val="ListParagraph"/>
        <w:numPr>
          <w:ilvl w:val="0"/>
          <w:numId w:val="3"/>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Associate Director (Leadership, Learning and School Improvement)</w:t>
      </w:r>
    </w:p>
    <w:p w14:paraId="27D154E6" w14:textId="77777777" w:rsidR="000E7CA1" w:rsidRPr="000E7CA1" w:rsidRDefault="00D31843" w:rsidP="00D31843">
      <w:pPr>
        <w:pStyle w:val="ListParagraph"/>
        <w:numPr>
          <w:ilvl w:val="0"/>
          <w:numId w:val="4"/>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System Superintendent (Special Education and Inclusion)</w:t>
      </w:r>
    </w:p>
    <w:p w14:paraId="57D53875" w14:textId="774C8EBF" w:rsidR="000E7CA1" w:rsidRPr="000E7CA1" w:rsidRDefault="00D31843" w:rsidP="000E7CA1">
      <w:pPr>
        <w:pStyle w:val="ListParagraph"/>
        <w:numPr>
          <w:ilvl w:val="0"/>
          <w:numId w:val="4"/>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Centrally Assigned Principals (Special Education)</w:t>
      </w:r>
    </w:p>
    <w:p w14:paraId="455E47C6" w14:textId="77777777" w:rsidR="000E7CA1" w:rsidRPr="000E7CA1" w:rsidRDefault="000E7CA1" w:rsidP="000E7CA1">
      <w:pPr>
        <w:pStyle w:val="ListParagraph"/>
        <w:spacing w:before="240" w:after="240" w:line="240" w:lineRule="auto"/>
        <w:ind w:left="426"/>
        <w:rPr>
          <w:rFonts w:ascii="Arial" w:eastAsia="Times New Roman" w:hAnsi="Arial" w:cs="Arial"/>
          <w:sz w:val="24"/>
          <w:szCs w:val="24"/>
          <w:lang w:eastAsia="en-CA"/>
        </w:rPr>
      </w:pPr>
    </w:p>
    <w:p w14:paraId="76D6D1F8" w14:textId="77777777" w:rsidR="000E7CA1" w:rsidRPr="000E7CA1" w:rsidRDefault="00D31843" w:rsidP="00D31843">
      <w:pPr>
        <w:pStyle w:val="ListParagraph"/>
        <w:numPr>
          <w:ilvl w:val="0"/>
          <w:numId w:val="5"/>
        </w:numPr>
        <w:spacing w:before="240" w:after="240" w:line="240" w:lineRule="auto"/>
        <w:ind w:left="426"/>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Recommendations of the sub-committee are taken to the Program and School Services Committee (PSSC)</w:t>
      </w:r>
    </w:p>
    <w:p w14:paraId="41DB4F15" w14:textId="77777777" w:rsidR="000E7CA1" w:rsidRPr="000E7CA1" w:rsidRDefault="000E7CA1" w:rsidP="000E7CA1">
      <w:pPr>
        <w:pStyle w:val="ListParagraph"/>
        <w:spacing w:before="240" w:after="240" w:line="240" w:lineRule="auto"/>
        <w:ind w:left="426"/>
        <w:rPr>
          <w:rFonts w:ascii="Arial" w:eastAsia="Times New Roman" w:hAnsi="Arial" w:cs="Arial"/>
          <w:sz w:val="24"/>
          <w:szCs w:val="24"/>
          <w:lang w:eastAsia="en-CA"/>
        </w:rPr>
      </w:pPr>
    </w:p>
    <w:p w14:paraId="0883357A" w14:textId="2A42058A" w:rsidR="00D31843" w:rsidRPr="000E7CA1" w:rsidRDefault="00D31843" w:rsidP="00D31843">
      <w:pPr>
        <w:pStyle w:val="ListParagraph"/>
        <w:numPr>
          <w:ilvl w:val="0"/>
          <w:numId w:val="5"/>
        </w:numPr>
        <w:spacing w:before="240" w:after="240" w:line="240" w:lineRule="auto"/>
        <w:ind w:left="426"/>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Recommendations from PSSC are taken to the Board of Trustees to be appointed to SEAC.</w:t>
      </w:r>
    </w:p>
    <w:p w14:paraId="74D14FF5" w14:textId="77777777" w:rsidR="000E7CA1" w:rsidRDefault="00D31843" w:rsidP="000E7CA1">
      <w:pPr>
        <w:spacing w:before="240" w:after="240" w:line="240" w:lineRule="auto"/>
        <w:ind w:left="-284"/>
        <w:rPr>
          <w:rFonts w:ascii="Arial" w:eastAsia="Times New Roman" w:hAnsi="Arial" w:cs="Arial"/>
          <w:sz w:val="24"/>
          <w:szCs w:val="24"/>
          <w:lang w:eastAsia="en-CA"/>
        </w:rPr>
      </w:pPr>
      <w:r w:rsidRPr="000E7CA1">
        <w:rPr>
          <w:rFonts w:ascii="Arial" w:eastAsia="Times New Roman" w:hAnsi="Arial" w:cs="Arial"/>
          <w:b/>
          <w:bCs/>
          <w:color w:val="000000"/>
          <w:sz w:val="24"/>
          <w:szCs w:val="24"/>
          <w:lang w:eastAsia="en-CA"/>
        </w:rPr>
        <w:t>Criteria Considered for Community Membership</w:t>
      </w:r>
    </w:p>
    <w:p w14:paraId="0096AF1D" w14:textId="77777777" w:rsidR="000E7CA1" w:rsidRPr="000E7CA1" w:rsidRDefault="00D31843" w:rsidP="00D31843">
      <w:pPr>
        <w:pStyle w:val="ListParagraph"/>
        <w:numPr>
          <w:ilvl w:val="0"/>
          <w:numId w:val="7"/>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Representation from a wide range of exceptionalities/special needs</w:t>
      </w:r>
    </w:p>
    <w:p w14:paraId="3D6994B2" w14:textId="77777777" w:rsidR="000E7CA1" w:rsidRPr="000E7CA1" w:rsidRDefault="000E7CA1" w:rsidP="000E7CA1">
      <w:pPr>
        <w:pStyle w:val="ListParagraph"/>
        <w:spacing w:before="240" w:after="240" w:line="240" w:lineRule="auto"/>
        <w:ind w:left="436"/>
        <w:rPr>
          <w:rFonts w:ascii="Arial" w:eastAsia="Times New Roman" w:hAnsi="Arial" w:cs="Arial"/>
          <w:sz w:val="24"/>
          <w:szCs w:val="24"/>
          <w:lang w:eastAsia="en-CA"/>
        </w:rPr>
      </w:pPr>
    </w:p>
    <w:p w14:paraId="14FC6108" w14:textId="77777777" w:rsidR="000E7CA1" w:rsidRPr="000E7CA1" w:rsidRDefault="00D31843" w:rsidP="00D31843">
      <w:pPr>
        <w:pStyle w:val="ListParagraph"/>
        <w:numPr>
          <w:ilvl w:val="0"/>
          <w:numId w:val="7"/>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Representation from a diversity of geographical locations across Toronto </w:t>
      </w:r>
    </w:p>
    <w:p w14:paraId="312320B0" w14:textId="77777777" w:rsidR="000E7CA1" w:rsidRPr="000E7CA1" w:rsidRDefault="000E7CA1" w:rsidP="000E7CA1">
      <w:pPr>
        <w:pStyle w:val="ListParagraph"/>
        <w:rPr>
          <w:rFonts w:ascii="Arial" w:eastAsia="Times New Roman" w:hAnsi="Arial" w:cs="Arial"/>
          <w:color w:val="000000"/>
          <w:sz w:val="24"/>
          <w:szCs w:val="24"/>
          <w:lang w:eastAsia="en-CA"/>
        </w:rPr>
      </w:pPr>
    </w:p>
    <w:p w14:paraId="4514D0D8" w14:textId="038D90B1" w:rsidR="000E7CA1" w:rsidRPr="000E7CA1" w:rsidRDefault="00D31843" w:rsidP="000E7CA1">
      <w:pPr>
        <w:pStyle w:val="ListParagraph"/>
        <w:numPr>
          <w:ilvl w:val="0"/>
          <w:numId w:val="7"/>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Members are selected based on principles of representation that include diversity in all its manifestations, a variety of skills, experiences, and knowledge, specifically, </w:t>
      </w:r>
    </w:p>
    <w:p w14:paraId="241C77B9" w14:textId="77777777" w:rsidR="000E7CA1" w:rsidRPr="000E7CA1" w:rsidRDefault="00D31843" w:rsidP="000E7CA1">
      <w:pPr>
        <w:pStyle w:val="ListParagraph"/>
        <w:numPr>
          <w:ilvl w:val="0"/>
          <w:numId w:val="8"/>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Representative for an exceptionality/learning need that is under represented by the current membership</w:t>
      </w:r>
    </w:p>
    <w:p w14:paraId="09DC5FC6" w14:textId="77777777" w:rsidR="000E7CA1" w:rsidRPr="000E7CA1" w:rsidRDefault="00D31843" w:rsidP="000E7CA1">
      <w:pPr>
        <w:pStyle w:val="ListParagraph"/>
        <w:numPr>
          <w:ilvl w:val="0"/>
          <w:numId w:val="8"/>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Previous/current involvement with communities, agencies, school councils, parent groups, etc.</w:t>
      </w:r>
    </w:p>
    <w:p w14:paraId="6163EC21" w14:textId="23F1AF3C" w:rsidR="00D31843" w:rsidRPr="000E7CA1" w:rsidRDefault="00D31843" w:rsidP="000E7CA1">
      <w:pPr>
        <w:pStyle w:val="ListParagraph"/>
        <w:numPr>
          <w:ilvl w:val="0"/>
          <w:numId w:val="8"/>
        </w:numPr>
        <w:spacing w:before="240" w:after="240" w:line="240" w:lineRule="auto"/>
        <w:rPr>
          <w:rFonts w:ascii="Arial" w:eastAsia="Times New Roman" w:hAnsi="Arial" w:cs="Arial"/>
          <w:sz w:val="24"/>
          <w:szCs w:val="24"/>
          <w:lang w:eastAsia="en-CA"/>
        </w:rPr>
      </w:pPr>
      <w:r w:rsidRPr="000E7CA1">
        <w:rPr>
          <w:rFonts w:ascii="Arial" w:eastAsia="Times New Roman" w:hAnsi="Arial" w:cs="Arial"/>
          <w:color w:val="000000"/>
          <w:sz w:val="24"/>
          <w:szCs w:val="24"/>
          <w:lang w:eastAsia="en-CA"/>
        </w:rPr>
        <w:t>Diversity of the applicant (self-identified)</w:t>
      </w:r>
    </w:p>
    <w:p w14:paraId="51669863" w14:textId="44A2E8CD" w:rsidR="00D31843" w:rsidRPr="000E7CA1" w:rsidRDefault="00D31843" w:rsidP="00D31843">
      <w:pPr>
        <w:spacing w:before="240" w:after="240" w:line="240" w:lineRule="auto"/>
        <w:rPr>
          <w:rFonts w:ascii="Arial" w:eastAsia="Times New Roman" w:hAnsi="Arial" w:cs="Arial"/>
          <w:color w:val="000000"/>
          <w:sz w:val="24"/>
          <w:szCs w:val="24"/>
          <w:lang w:eastAsia="en-CA"/>
        </w:rPr>
      </w:pPr>
      <w:r w:rsidRPr="000E7CA1">
        <w:rPr>
          <w:rFonts w:ascii="Arial" w:eastAsia="Times New Roman" w:hAnsi="Arial" w:cs="Arial"/>
          <w:color w:val="000000"/>
          <w:sz w:val="24"/>
          <w:szCs w:val="24"/>
          <w:lang w:eastAsia="en-CA"/>
        </w:rPr>
        <w:t>Preference is given to parent/guardians of student(s) currently receiving a variety of special education supports/services in TDSB schools Selection Process: for Associations</w:t>
      </w:r>
    </w:p>
    <w:p w14:paraId="38C9CF39" w14:textId="311F93E0" w:rsidR="00126458" w:rsidRPr="000E7CA1" w:rsidRDefault="00126458" w:rsidP="00D31843">
      <w:pPr>
        <w:spacing w:before="240" w:after="240" w:line="240" w:lineRule="auto"/>
        <w:rPr>
          <w:rFonts w:ascii="Arial" w:eastAsia="Times New Roman" w:hAnsi="Arial" w:cs="Arial"/>
          <w:color w:val="000000"/>
          <w:sz w:val="24"/>
          <w:szCs w:val="24"/>
          <w:lang w:eastAsia="en-CA"/>
        </w:rPr>
      </w:pPr>
    </w:p>
    <w:p w14:paraId="2378CDDF" w14:textId="6C7EA127" w:rsidR="00126458" w:rsidRPr="000E7CA1" w:rsidRDefault="00126458" w:rsidP="00D31843">
      <w:pPr>
        <w:spacing w:before="240" w:after="240" w:line="240" w:lineRule="auto"/>
        <w:rPr>
          <w:rFonts w:ascii="Arial" w:eastAsia="Times New Roman" w:hAnsi="Arial" w:cs="Arial"/>
          <w:color w:val="000000"/>
          <w:sz w:val="24"/>
          <w:szCs w:val="24"/>
          <w:lang w:eastAsia="en-CA"/>
        </w:rPr>
      </w:pPr>
    </w:p>
    <w:p w14:paraId="3C7E2312" w14:textId="4E14373D" w:rsidR="00126458" w:rsidRPr="000E7CA1" w:rsidRDefault="00126458" w:rsidP="00D31843">
      <w:pPr>
        <w:spacing w:before="240" w:after="240" w:line="240" w:lineRule="auto"/>
        <w:rPr>
          <w:rFonts w:ascii="Arial" w:eastAsia="Times New Roman" w:hAnsi="Arial" w:cs="Arial"/>
          <w:sz w:val="24"/>
          <w:szCs w:val="24"/>
          <w:lang w:eastAsia="en-CA"/>
        </w:rPr>
      </w:pPr>
    </w:p>
    <w:p w14:paraId="789806DC" w14:textId="35749F1F" w:rsidR="00126458" w:rsidRPr="000E7CA1" w:rsidRDefault="00126458" w:rsidP="00E908F4">
      <w:pPr>
        <w:spacing w:before="240" w:after="240" w:line="240" w:lineRule="auto"/>
        <w:jc w:val="center"/>
        <w:rPr>
          <w:rFonts w:ascii="Arial" w:eastAsia="Times New Roman" w:hAnsi="Arial" w:cs="Arial"/>
          <w:b/>
          <w:bCs/>
          <w:sz w:val="24"/>
          <w:szCs w:val="24"/>
          <w:lang w:eastAsia="en-CA"/>
        </w:rPr>
      </w:pPr>
      <w:r w:rsidRPr="000E7CA1">
        <w:rPr>
          <w:rFonts w:ascii="Arial" w:eastAsia="Times New Roman" w:hAnsi="Arial" w:cs="Arial"/>
          <w:b/>
          <w:bCs/>
          <w:sz w:val="24"/>
          <w:szCs w:val="24"/>
          <w:lang w:eastAsia="en-CA"/>
        </w:rPr>
        <w:lastRenderedPageBreak/>
        <w:t xml:space="preserve">Selection Process for Associations and their </w:t>
      </w:r>
      <w:proofErr w:type="gramStart"/>
      <w:r w:rsidRPr="000E7CA1">
        <w:rPr>
          <w:rFonts w:ascii="Arial" w:eastAsia="Times New Roman" w:hAnsi="Arial" w:cs="Arial"/>
          <w:b/>
          <w:bCs/>
          <w:sz w:val="24"/>
          <w:szCs w:val="24"/>
          <w:lang w:eastAsia="en-CA"/>
        </w:rPr>
        <w:t>Representatives  -</w:t>
      </w:r>
      <w:proofErr w:type="gramEnd"/>
      <w:r w:rsidRPr="000E7CA1">
        <w:rPr>
          <w:rFonts w:ascii="Arial" w:eastAsia="Times New Roman" w:hAnsi="Arial" w:cs="Arial"/>
          <w:b/>
          <w:bCs/>
          <w:sz w:val="24"/>
          <w:szCs w:val="24"/>
          <w:lang w:eastAsia="en-CA"/>
        </w:rPr>
        <w:t xml:space="preserve"> </w:t>
      </w:r>
      <w:r w:rsidRPr="000E7CA1">
        <w:rPr>
          <w:rFonts w:ascii="Arial" w:eastAsia="Times New Roman" w:hAnsi="Arial" w:cs="Arial"/>
          <w:b/>
          <w:bCs/>
          <w:color w:val="000000"/>
          <w:sz w:val="24"/>
          <w:szCs w:val="24"/>
          <w:lang w:eastAsia="en-CA"/>
        </w:rPr>
        <w:t>Application Deadline Oct. 15, 2022</w:t>
      </w:r>
    </w:p>
    <w:p w14:paraId="0DB0D542" w14:textId="77777777" w:rsidR="00E908F4" w:rsidRPr="00E908F4" w:rsidRDefault="00D31843" w:rsidP="00D31843">
      <w:pPr>
        <w:pStyle w:val="ListParagraph"/>
        <w:numPr>
          <w:ilvl w:val="0"/>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 xml:space="preserve">Interested associations apply by writing a letter to Audley Salmon, Associate Director (Leadership, Learning and School Improvement) to request representation on the SEAC.  Letters </w:t>
      </w:r>
      <w:proofErr w:type="gramStart"/>
      <w:r w:rsidRPr="00E908F4">
        <w:rPr>
          <w:rFonts w:ascii="Arial" w:eastAsia="Times New Roman" w:hAnsi="Arial" w:cs="Arial"/>
          <w:color w:val="000000"/>
          <w:sz w:val="24"/>
          <w:szCs w:val="24"/>
          <w:lang w:eastAsia="en-CA"/>
        </w:rPr>
        <w:t>and  applications</w:t>
      </w:r>
      <w:proofErr w:type="gramEnd"/>
      <w:r w:rsidRPr="00E908F4">
        <w:rPr>
          <w:rFonts w:ascii="Arial" w:eastAsia="Times New Roman" w:hAnsi="Arial" w:cs="Arial"/>
          <w:color w:val="000000"/>
          <w:sz w:val="24"/>
          <w:szCs w:val="24"/>
          <w:lang w:eastAsia="en-CA"/>
        </w:rPr>
        <w:t xml:space="preserve">, along with any additional relevant information should be submitted electronically to </w:t>
      </w:r>
      <w:hyperlink r:id="rId10" w:history="1">
        <w:r w:rsidRPr="00E908F4">
          <w:rPr>
            <w:rFonts w:ascii="Arial" w:eastAsia="Times New Roman" w:hAnsi="Arial" w:cs="Arial"/>
            <w:color w:val="1155CC"/>
            <w:sz w:val="24"/>
            <w:szCs w:val="24"/>
            <w:u w:val="single"/>
            <w:lang w:eastAsia="en-CA"/>
          </w:rPr>
          <w:t>lianne.dixon@tdsb.on.ca</w:t>
        </w:r>
      </w:hyperlink>
      <w:r w:rsidRPr="00E908F4">
        <w:rPr>
          <w:rFonts w:ascii="Arial" w:eastAsia="Times New Roman" w:hAnsi="Arial" w:cs="Arial"/>
          <w:color w:val="000000"/>
          <w:sz w:val="24"/>
          <w:szCs w:val="24"/>
          <w:lang w:eastAsia="en-CA"/>
        </w:rPr>
        <w:t xml:space="preserve"> or by mail to </w:t>
      </w:r>
      <w:r w:rsidR="00F225D6" w:rsidRPr="00E908F4">
        <w:rPr>
          <w:rFonts w:ascii="Arial" w:eastAsia="Times New Roman" w:hAnsi="Arial" w:cs="Arial"/>
          <w:color w:val="000000"/>
          <w:sz w:val="24"/>
          <w:szCs w:val="24"/>
          <w:lang w:eastAsia="en-CA"/>
        </w:rPr>
        <w:t>SEAC Liaison</w:t>
      </w:r>
      <w:r w:rsidRPr="00E908F4">
        <w:rPr>
          <w:rFonts w:ascii="Arial" w:eastAsia="Times New Roman" w:hAnsi="Arial" w:cs="Arial"/>
          <w:color w:val="000000"/>
          <w:sz w:val="24"/>
          <w:szCs w:val="24"/>
          <w:lang w:eastAsia="en-CA"/>
        </w:rPr>
        <w:t>, Special Education</w:t>
      </w:r>
      <w:r w:rsidR="00F225D6" w:rsidRPr="00E908F4">
        <w:rPr>
          <w:rFonts w:ascii="Arial" w:eastAsia="Times New Roman" w:hAnsi="Arial" w:cs="Arial"/>
          <w:color w:val="000000"/>
          <w:sz w:val="24"/>
          <w:szCs w:val="24"/>
          <w:lang w:eastAsia="en-CA"/>
        </w:rPr>
        <w:t xml:space="preserve"> and Inclusion,</w:t>
      </w:r>
      <w:r w:rsidRPr="00E908F4">
        <w:rPr>
          <w:rFonts w:ascii="Arial" w:eastAsia="Times New Roman" w:hAnsi="Arial" w:cs="Arial"/>
          <w:color w:val="000000"/>
          <w:sz w:val="24"/>
          <w:szCs w:val="24"/>
          <w:lang w:eastAsia="en-CA"/>
        </w:rPr>
        <w:t xml:space="preserve"> 5th floor, 5050 Yonge Street, Toronto, Ontario  M2N 5N8</w:t>
      </w:r>
    </w:p>
    <w:p w14:paraId="04037542" w14:textId="77777777" w:rsidR="00E908F4" w:rsidRPr="00E908F4" w:rsidRDefault="00E908F4" w:rsidP="00E908F4">
      <w:pPr>
        <w:pStyle w:val="ListParagraph"/>
        <w:spacing w:before="240" w:after="240" w:line="240" w:lineRule="auto"/>
        <w:rPr>
          <w:rFonts w:ascii="Arial" w:eastAsia="Times New Roman" w:hAnsi="Arial" w:cs="Arial"/>
          <w:sz w:val="24"/>
          <w:szCs w:val="24"/>
          <w:lang w:eastAsia="en-CA"/>
        </w:rPr>
      </w:pPr>
    </w:p>
    <w:p w14:paraId="247155AA" w14:textId="77777777" w:rsidR="00E908F4" w:rsidRPr="00E908F4" w:rsidRDefault="00D31843" w:rsidP="00D31843">
      <w:pPr>
        <w:pStyle w:val="ListParagraph"/>
        <w:numPr>
          <w:ilvl w:val="0"/>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A letter should include the nomination and qualifications of the nominee (Application Forms are available on the public website). available online (</w:t>
      </w:r>
      <w:hyperlink r:id="rId11" w:history="1">
        <w:r w:rsidRPr="00E908F4">
          <w:rPr>
            <w:rFonts w:ascii="Arial" w:eastAsia="Times New Roman" w:hAnsi="Arial" w:cs="Arial"/>
            <w:color w:val="1155CC"/>
            <w:sz w:val="24"/>
            <w:szCs w:val="24"/>
            <w:u w:val="single"/>
            <w:lang w:eastAsia="en-CA"/>
          </w:rPr>
          <w:t>https://www.tdsb.on.ca/Community/How-to-Get-Involved/Advisory-Committees/Statutory-Advisory-Committees/Special-Education-Advisory-Committee</w:t>
        </w:r>
      </w:hyperlink>
      <w:r w:rsidRPr="00E908F4">
        <w:rPr>
          <w:rFonts w:ascii="Arial" w:eastAsia="Times New Roman" w:hAnsi="Arial" w:cs="Arial"/>
          <w:color w:val="000000"/>
          <w:sz w:val="24"/>
          <w:szCs w:val="24"/>
          <w:lang w:eastAsia="en-CA"/>
        </w:rPr>
        <w:t>) or by request from the SEAC Liaison (</w:t>
      </w:r>
      <w:hyperlink r:id="rId12" w:history="1">
        <w:r w:rsidRPr="00E908F4">
          <w:rPr>
            <w:rFonts w:ascii="Arial" w:eastAsia="Times New Roman" w:hAnsi="Arial" w:cs="Arial"/>
            <w:color w:val="1155CC"/>
            <w:sz w:val="24"/>
            <w:szCs w:val="24"/>
            <w:u w:val="single"/>
            <w:lang w:eastAsia="en-CA"/>
          </w:rPr>
          <w:t>lianne.dixon@tdsb.on.ca</w:t>
        </w:r>
      </w:hyperlink>
      <w:r w:rsidRPr="00E908F4">
        <w:rPr>
          <w:rFonts w:ascii="Arial" w:eastAsia="Times New Roman" w:hAnsi="Arial" w:cs="Arial"/>
          <w:color w:val="000000"/>
          <w:sz w:val="24"/>
          <w:szCs w:val="24"/>
          <w:lang w:eastAsia="en-CA"/>
        </w:rPr>
        <w:t>) .</w:t>
      </w:r>
    </w:p>
    <w:p w14:paraId="2AF03220" w14:textId="77777777" w:rsidR="00E908F4" w:rsidRPr="00E908F4" w:rsidRDefault="00E908F4" w:rsidP="00E908F4">
      <w:pPr>
        <w:pStyle w:val="ListParagraph"/>
        <w:rPr>
          <w:rFonts w:ascii="Arial" w:eastAsia="Times New Roman" w:hAnsi="Arial" w:cs="Arial"/>
          <w:color w:val="000000"/>
          <w:sz w:val="24"/>
          <w:szCs w:val="24"/>
          <w:lang w:eastAsia="en-CA"/>
        </w:rPr>
      </w:pPr>
    </w:p>
    <w:p w14:paraId="134FC556" w14:textId="77777777" w:rsidR="00E908F4" w:rsidRPr="00E908F4" w:rsidRDefault="00D31843" w:rsidP="00D31843">
      <w:pPr>
        <w:pStyle w:val="ListParagraph"/>
        <w:numPr>
          <w:ilvl w:val="0"/>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The board may appoint to membership of the SEAC only those persons who qualify. Each association is entitled to one member.</w:t>
      </w:r>
    </w:p>
    <w:p w14:paraId="7652398C" w14:textId="77777777" w:rsidR="00E908F4" w:rsidRPr="00E908F4" w:rsidRDefault="00E908F4" w:rsidP="00E908F4">
      <w:pPr>
        <w:pStyle w:val="ListParagraph"/>
        <w:rPr>
          <w:rFonts w:ascii="Arial" w:eastAsia="Times New Roman" w:hAnsi="Arial" w:cs="Arial"/>
          <w:color w:val="000000"/>
          <w:sz w:val="24"/>
          <w:szCs w:val="24"/>
          <w:lang w:eastAsia="en-CA"/>
        </w:rPr>
      </w:pPr>
    </w:p>
    <w:p w14:paraId="1C9317C8" w14:textId="77777777" w:rsidR="00E908F4" w:rsidRPr="00E908F4" w:rsidRDefault="00D31843" w:rsidP="00D31843">
      <w:pPr>
        <w:pStyle w:val="ListParagraph"/>
        <w:numPr>
          <w:ilvl w:val="0"/>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Where there are more than twelve associations in the area of jurisdiction of the board, the board shall select the twelve local associations that shall be represented.</w:t>
      </w:r>
    </w:p>
    <w:p w14:paraId="520425DA" w14:textId="77777777" w:rsidR="00E908F4" w:rsidRPr="00E908F4" w:rsidRDefault="00E908F4" w:rsidP="00E908F4">
      <w:pPr>
        <w:pStyle w:val="ListParagraph"/>
        <w:rPr>
          <w:rFonts w:ascii="Arial" w:eastAsia="Times New Roman" w:hAnsi="Arial" w:cs="Arial"/>
          <w:color w:val="000000"/>
          <w:sz w:val="24"/>
          <w:szCs w:val="24"/>
          <w:lang w:eastAsia="en-CA"/>
        </w:rPr>
      </w:pPr>
    </w:p>
    <w:p w14:paraId="65448328" w14:textId="4796F71A" w:rsidR="00E908F4" w:rsidRPr="00E908F4" w:rsidRDefault="00D31843" w:rsidP="00E908F4">
      <w:pPr>
        <w:pStyle w:val="ListParagraph"/>
        <w:numPr>
          <w:ilvl w:val="0"/>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Applications/expressions of interest are reviewed by a sub-committee consisting of the following staff:</w:t>
      </w:r>
    </w:p>
    <w:p w14:paraId="00C3D431" w14:textId="77777777" w:rsidR="00E908F4" w:rsidRPr="00E908F4" w:rsidRDefault="00D31843" w:rsidP="00D31843">
      <w:pPr>
        <w:pStyle w:val="ListParagraph"/>
        <w:numPr>
          <w:ilvl w:val="1"/>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Associate Director (Leadership, Learning and School Improvement)</w:t>
      </w:r>
    </w:p>
    <w:p w14:paraId="0A6833A0" w14:textId="77777777" w:rsidR="00E908F4" w:rsidRPr="00E908F4" w:rsidRDefault="00D31843" w:rsidP="00D31843">
      <w:pPr>
        <w:pStyle w:val="ListParagraph"/>
        <w:numPr>
          <w:ilvl w:val="1"/>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System Superintendent (Special Education and Inclusion)</w:t>
      </w:r>
    </w:p>
    <w:p w14:paraId="0F077213" w14:textId="3C1846FD" w:rsidR="00D31843" w:rsidRPr="00E908F4" w:rsidRDefault="00D31843" w:rsidP="00D31843">
      <w:pPr>
        <w:pStyle w:val="ListParagraph"/>
        <w:numPr>
          <w:ilvl w:val="1"/>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Centrally Assigned Principals (Special Education)</w:t>
      </w:r>
    </w:p>
    <w:p w14:paraId="3009A76A" w14:textId="77777777" w:rsidR="00E908F4" w:rsidRPr="00E908F4" w:rsidRDefault="00E908F4" w:rsidP="00E908F4">
      <w:pPr>
        <w:pStyle w:val="ListParagraph"/>
        <w:spacing w:before="240" w:after="240" w:line="240" w:lineRule="auto"/>
        <w:rPr>
          <w:rFonts w:ascii="Arial" w:eastAsia="Times New Roman" w:hAnsi="Arial" w:cs="Arial"/>
          <w:sz w:val="24"/>
          <w:szCs w:val="24"/>
          <w:lang w:eastAsia="en-CA"/>
        </w:rPr>
      </w:pPr>
    </w:p>
    <w:p w14:paraId="724192C4" w14:textId="77777777" w:rsidR="00E908F4" w:rsidRPr="00E908F4" w:rsidRDefault="00D31843" w:rsidP="00D31843">
      <w:pPr>
        <w:pStyle w:val="ListParagraph"/>
        <w:numPr>
          <w:ilvl w:val="0"/>
          <w:numId w:val="9"/>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Recommendations of sub-committee are taken to the Program and Services Committee</w:t>
      </w:r>
    </w:p>
    <w:p w14:paraId="4C823353" w14:textId="77777777" w:rsidR="00E908F4" w:rsidRPr="00E908F4" w:rsidRDefault="00E908F4" w:rsidP="00E908F4">
      <w:pPr>
        <w:pStyle w:val="ListParagraph"/>
        <w:spacing w:before="240" w:after="240" w:line="240" w:lineRule="auto"/>
        <w:rPr>
          <w:rFonts w:ascii="Arial" w:eastAsia="Times New Roman" w:hAnsi="Arial" w:cs="Arial"/>
          <w:sz w:val="24"/>
          <w:szCs w:val="24"/>
          <w:lang w:eastAsia="en-CA"/>
        </w:rPr>
      </w:pPr>
    </w:p>
    <w:p w14:paraId="1BD31326" w14:textId="08EFDD47" w:rsidR="00D31843" w:rsidRPr="00E908F4" w:rsidRDefault="00D31843" w:rsidP="00E908F4">
      <w:pPr>
        <w:pStyle w:val="ListParagraph"/>
        <w:numPr>
          <w:ilvl w:val="0"/>
          <w:numId w:val="9"/>
        </w:numPr>
        <w:spacing w:before="240" w:after="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Recommendations from PSSC are taken to Board of Trustees to be appointed to SEAC.</w:t>
      </w:r>
    </w:p>
    <w:p w14:paraId="75089A1F" w14:textId="77777777" w:rsidR="00E908F4" w:rsidRPr="00E908F4" w:rsidRDefault="00E908F4" w:rsidP="00E908F4">
      <w:pPr>
        <w:spacing w:before="240" w:after="240" w:line="240" w:lineRule="auto"/>
        <w:rPr>
          <w:rFonts w:ascii="Arial" w:eastAsia="Times New Roman" w:hAnsi="Arial" w:cs="Arial"/>
          <w:sz w:val="24"/>
          <w:szCs w:val="24"/>
          <w:lang w:eastAsia="en-CA"/>
        </w:rPr>
      </w:pPr>
    </w:p>
    <w:p w14:paraId="0B92641C" w14:textId="7560F7B0" w:rsidR="00D31843" w:rsidRPr="000E7CA1" w:rsidRDefault="00D31843" w:rsidP="00E908F4">
      <w:pPr>
        <w:spacing w:before="240" w:after="240" w:line="240" w:lineRule="auto"/>
        <w:jc w:val="center"/>
        <w:rPr>
          <w:rFonts w:ascii="Arial" w:eastAsia="Times New Roman" w:hAnsi="Arial" w:cs="Arial"/>
          <w:sz w:val="24"/>
          <w:szCs w:val="24"/>
          <w:lang w:eastAsia="en-CA"/>
        </w:rPr>
      </w:pPr>
      <w:r w:rsidRPr="000E7CA1">
        <w:rPr>
          <w:rFonts w:ascii="Arial" w:eastAsia="Times New Roman" w:hAnsi="Arial" w:cs="Arial"/>
          <w:b/>
          <w:bCs/>
          <w:color w:val="000000"/>
          <w:sz w:val="24"/>
          <w:szCs w:val="24"/>
          <w:lang w:eastAsia="en-CA"/>
        </w:rPr>
        <w:t xml:space="preserve">Criteria Considered for </w:t>
      </w:r>
      <w:r w:rsidR="00E908F4" w:rsidRPr="000E7CA1">
        <w:rPr>
          <w:rFonts w:ascii="Arial" w:eastAsia="Times New Roman" w:hAnsi="Arial" w:cs="Arial"/>
          <w:b/>
          <w:bCs/>
          <w:color w:val="000000"/>
          <w:sz w:val="24"/>
          <w:szCs w:val="24"/>
          <w:lang w:eastAsia="en-CA"/>
        </w:rPr>
        <w:t>Association Membership</w:t>
      </w:r>
    </w:p>
    <w:p w14:paraId="2AE8C47B" w14:textId="77777777" w:rsidR="00E908F4" w:rsidRPr="00E908F4" w:rsidRDefault="00D31843" w:rsidP="00D31843">
      <w:pPr>
        <w:pStyle w:val="ListParagraph"/>
        <w:numPr>
          <w:ilvl w:val="0"/>
          <w:numId w:val="11"/>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Representation from a wide range of exceptionalities</w:t>
      </w:r>
    </w:p>
    <w:p w14:paraId="5B34856F" w14:textId="77777777" w:rsidR="00E908F4" w:rsidRPr="00E908F4" w:rsidRDefault="00E908F4" w:rsidP="00E908F4">
      <w:pPr>
        <w:pStyle w:val="ListParagraph"/>
        <w:spacing w:before="240" w:after="240" w:line="240" w:lineRule="auto"/>
        <w:rPr>
          <w:rFonts w:ascii="Arial" w:eastAsia="Times New Roman" w:hAnsi="Arial" w:cs="Arial"/>
          <w:sz w:val="24"/>
          <w:szCs w:val="24"/>
          <w:lang w:eastAsia="en-CA"/>
        </w:rPr>
      </w:pPr>
    </w:p>
    <w:p w14:paraId="3B3322A3" w14:textId="3EC65EED" w:rsidR="00D31843" w:rsidRPr="00E908F4" w:rsidRDefault="00D31843" w:rsidP="00D31843">
      <w:pPr>
        <w:pStyle w:val="ListParagraph"/>
        <w:numPr>
          <w:ilvl w:val="0"/>
          <w:numId w:val="11"/>
        </w:numPr>
        <w:spacing w:before="240" w:after="240" w:line="240" w:lineRule="auto"/>
        <w:rPr>
          <w:rFonts w:ascii="Arial" w:eastAsia="Times New Roman" w:hAnsi="Arial" w:cs="Arial"/>
          <w:sz w:val="24"/>
          <w:szCs w:val="24"/>
          <w:lang w:eastAsia="en-CA"/>
        </w:rPr>
      </w:pPr>
      <w:r w:rsidRPr="00E908F4">
        <w:rPr>
          <w:rFonts w:ascii="Arial" w:eastAsia="Times New Roman" w:hAnsi="Arial" w:cs="Arial"/>
          <w:color w:val="000000"/>
          <w:sz w:val="24"/>
          <w:szCs w:val="24"/>
          <w:lang w:eastAsia="en-CA"/>
        </w:rPr>
        <w:t>Representation from a diversity of geographical locations across Toronto </w:t>
      </w:r>
    </w:p>
    <w:p w14:paraId="33C4997D" w14:textId="77777777" w:rsidR="00D31843" w:rsidRPr="000E7CA1" w:rsidRDefault="00D31843" w:rsidP="00D31843">
      <w:pPr>
        <w:spacing w:after="0" w:line="240" w:lineRule="auto"/>
        <w:rPr>
          <w:rFonts w:ascii="Arial" w:eastAsia="Times New Roman" w:hAnsi="Arial" w:cs="Arial"/>
          <w:sz w:val="24"/>
          <w:szCs w:val="24"/>
          <w:lang w:eastAsia="en-CA"/>
        </w:rPr>
      </w:pPr>
    </w:p>
    <w:p w14:paraId="184114D3" w14:textId="77777777" w:rsidR="00D31843" w:rsidRPr="000E7CA1" w:rsidRDefault="00D31843" w:rsidP="00D31843">
      <w:pPr>
        <w:spacing w:after="0" w:line="240" w:lineRule="auto"/>
        <w:jc w:val="center"/>
        <w:rPr>
          <w:rFonts w:ascii="Arial" w:eastAsia="Times New Roman" w:hAnsi="Arial" w:cs="Arial"/>
          <w:sz w:val="24"/>
          <w:szCs w:val="24"/>
          <w:lang w:eastAsia="en-CA"/>
        </w:rPr>
      </w:pPr>
      <w:r w:rsidRPr="000E7CA1">
        <w:rPr>
          <w:rFonts w:ascii="Arial" w:eastAsia="Times New Roman" w:hAnsi="Arial" w:cs="Arial"/>
          <w:b/>
          <w:bCs/>
          <w:color w:val="000000"/>
          <w:sz w:val="24"/>
          <w:szCs w:val="24"/>
          <w:lang w:eastAsia="en-CA"/>
        </w:rPr>
        <w:t>APPLICATION DEADLINE OCTOBER 15TH 2022</w:t>
      </w:r>
    </w:p>
    <w:p w14:paraId="5FFDFF23" w14:textId="77777777" w:rsidR="001D088F" w:rsidRPr="000E7CA1" w:rsidRDefault="001D088F">
      <w:pPr>
        <w:rPr>
          <w:rFonts w:ascii="Arial" w:hAnsi="Arial" w:cs="Arial"/>
          <w:sz w:val="24"/>
          <w:szCs w:val="24"/>
        </w:rPr>
      </w:pPr>
    </w:p>
    <w:sectPr w:rsidR="001D088F" w:rsidRPr="000E7CA1">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8822" w14:textId="77777777" w:rsidR="00B8446F" w:rsidRDefault="00B8446F" w:rsidP="000E7CA1">
      <w:pPr>
        <w:spacing w:after="0" w:line="240" w:lineRule="auto"/>
      </w:pPr>
      <w:r>
        <w:separator/>
      </w:r>
    </w:p>
  </w:endnote>
  <w:endnote w:type="continuationSeparator" w:id="0">
    <w:p w14:paraId="1DB873AD" w14:textId="77777777" w:rsidR="00B8446F" w:rsidRDefault="00B8446F" w:rsidP="000E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A72B" w14:textId="6218DCC6" w:rsidR="00E908F4" w:rsidRDefault="00E908F4">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64F0" w14:textId="77777777" w:rsidR="00B8446F" w:rsidRDefault="00B8446F" w:rsidP="000E7CA1">
      <w:pPr>
        <w:spacing w:after="0" w:line="240" w:lineRule="auto"/>
      </w:pPr>
      <w:r>
        <w:separator/>
      </w:r>
    </w:p>
  </w:footnote>
  <w:footnote w:type="continuationSeparator" w:id="0">
    <w:p w14:paraId="40E763CB" w14:textId="77777777" w:rsidR="00B8446F" w:rsidRDefault="00B8446F" w:rsidP="000E7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B7E2" w14:textId="40A369F4" w:rsidR="000E7CA1" w:rsidRDefault="000E7CA1">
    <w:pPr>
      <w:pStyle w:val="Header"/>
    </w:pPr>
    <w:r>
      <w:rPr>
        <w:noProof/>
      </w:rPr>
      <w:drawing>
        <wp:anchor distT="0" distB="0" distL="114300" distR="114300" simplePos="0" relativeHeight="251659264" behindDoc="0" locked="0" layoutInCell="1" allowOverlap="1" wp14:anchorId="4F5F21C2" wp14:editId="2B176999">
          <wp:simplePos x="0" y="0"/>
          <wp:positionH relativeFrom="column">
            <wp:posOffset>-695325</wp:posOffset>
          </wp:positionH>
          <wp:positionV relativeFrom="paragraph">
            <wp:posOffset>-238760</wp:posOffset>
          </wp:positionV>
          <wp:extent cx="2419350" cy="704850"/>
          <wp:effectExtent l="0" t="0" r="0" b="0"/>
          <wp:wrapNone/>
          <wp:docPr id="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19350" cy="704850"/>
                  </a:xfrm>
                  <a:prstGeom prst="rect">
                    <a:avLst/>
                  </a:prstGeom>
                  <a:ln/>
                </pic:spPr>
              </pic:pic>
            </a:graphicData>
          </a:graphic>
          <wp14:sizeRelH relativeFrom="margin">
            <wp14:pctWidth>0</wp14:pctWidth>
          </wp14:sizeRelH>
          <wp14:sizeRelV relativeFrom="margin">
            <wp14:pctHeight>0</wp14:pctHeight>
          </wp14:sizeRelV>
        </wp:anchor>
      </w:drawing>
    </w:r>
    <w:r>
      <w:tab/>
    </w:r>
    <w:r>
      <w:tab/>
    </w:r>
    <w:r w:rsidRPr="0012234A">
      <w:rPr>
        <w:rFonts w:ascii="Arial" w:hAnsi="Arial" w:cs="Arial"/>
        <w:bCs/>
        <w:color w:val="000000"/>
      </w:rPr>
      <w:t>Learning Transformation and Equity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715"/>
    <w:multiLevelType w:val="hybridMultilevel"/>
    <w:tmpl w:val="DCBCB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200ABE"/>
    <w:multiLevelType w:val="hybridMultilevel"/>
    <w:tmpl w:val="B442F4E6"/>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 w15:restartNumberingAfterBreak="0">
    <w:nsid w:val="141F1A64"/>
    <w:multiLevelType w:val="hybridMultilevel"/>
    <w:tmpl w:val="60C82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F50A07"/>
    <w:multiLevelType w:val="hybridMultilevel"/>
    <w:tmpl w:val="ABDA43FC"/>
    <w:lvl w:ilvl="0" w:tplc="10090001">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4" w15:restartNumberingAfterBreak="0">
    <w:nsid w:val="24AE5F3F"/>
    <w:multiLevelType w:val="hybridMultilevel"/>
    <w:tmpl w:val="7624A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942995"/>
    <w:multiLevelType w:val="hybridMultilevel"/>
    <w:tmpl w:val="E3327FAA"/>
    <w:lvl w:ilvl="0" w:tplc="10090003">
      <w:start w:val="1"/>
      <w:numFmt w:val="bullet"/>
      <w:lvlText w:val="o"/>
      <w:lvlJc w:val="left"/>
      <w:pPr>
        <w:ind w:left="1156" w:hanging="360"/>
      </w:pPr>
      <w:rPr>
        <w:rFonts w:ascii="Courier New" w:hAnsi="Courier New" w:cs="Courier New" w:hint="default"/>
      </w:rPr>
    </w:lvl>
    <w:lvl w:ilvl="1" w:tplc="10090003" w:tentative="1">
      <w:start w:val="1"/>
      <w:numFmt w:val="bullet"/>
      <w:lvlText w:val="o"/>
      <w:lvlJc w:val="left"/>
      <w:pPr>
        <w:ind w:left="1876" w:hanging="360"/>
      </w:pPr>
      <w:rPr>
        <w:rFonts w:ascii="Courier New" w:hAnsi="Courier New" w:cs="Courier New" w:hint="default"/>
      </w:rPr>
    </w:lvl>
    <w:lvl w:ilvl="2" w:tplc="10090005" w:tentative="1">
      <w:start w:val="1"/>
      <w:numFmt w:val="bullet"/>
      <w:lvlText w:val=""/>
      <w:lvlJc w:val="left"/>
      <w:pPr>
        <w:ind w:left="2596" w:hanging="360"/>
      </w:pPr>
      <w:rPr>
        <w:rFonts w:ascii="Wingdings" w:hAnsi="Wingdings" w:hint="default"/>
      </w:rPr>
    </w:lvl>
    <w:lvl w:ilvl="3" w:tplc="10090001" w:tentative="1">
      <w:start w:val="1"/>
      <w:numFmt w:val="bullet"/>
      <w:lvlText w:val=""/>
      <w:lvlJc w:val="left"/>
      <w:pPr>
        <w:ind w:left="3316" w:hanging="360"/>
      </w:pPr>
      <w:rPr>
        <w:rFonts w:ascii="Symbol" w:hAnsi="Symbol" w:hint="default"/>
      </w:rPr>
    </w:lvl>
    <w:lvl w:ilvl="4" w:tplc="10090003" w:tentative="1">
      <w:start w:val="1"/>
      <w:numFmt w:val="bullet"/>
      <w:lvlText w:val="o"/>
      <w:lvlJc w:val="left"/>
      <w:pPr>
        <w:ind w:left="4036" w:hanging="360"/>
      </w:pPr>
      <w:rPr>
        <w:rFonts w:ascii="Courier New" w:hAnsi="Courier New" w:cs="Courier New" w:hint="default"/>
      </w:rPr>
    </w:lvl>
    <w:lvl w:ilvl="5" w:tplc="10090005" w:tentative="1">
      <w:start w:val="1"/>
      <w:numFmt w:val="bullet"/>
      <w:lvlText w:val=""/>
      <w:lvlJc w:val="left"/>
      <w:pPr>
        <w:ind w:left="4756" w:hanging="360"/>
      </w:pPr>
      <w:rPr>
        <w:rFonts w:ascii="Wingdings" w:hAnsi="Wingdings" w:hint="default"/>
      </w:rPr>
    </w:lvl>
    <w:lvl w:ilvl="6" w:tplc="10090001" w:tentative="1">
      <w:start w:val="1"/>
      <w:numFmt w:val="bullet"/>
      <w:lvlText w:val=""/>
      <w:lvlJc w:val="left"/>
      <w:pPr>
        <w:ind w:left="5476" w:hanging="360"/>
      </w:pPr>
      <w:rPr>
        <w:rFonts w:ascii="Symbol" w:hAnsi="Symbol" w:hint="default"/>
      </w:rPr>
    </w:lvl>
    <w:lvl w:ilvl="7" w:tplc="10090003" w:tentative="1">
      <w:start w:val="1"/>
      <w:numFmt w:val="bullet"/>
      <w:lvlText w:val="o"/>
      <w:lvlJc w:val="left"/>
      <w:pPr>
        <w:ind w:left="6196" w:hanging="360"/>
      </w:pPr>
      <w:rPr>
        <w:rFonts w:ascii="Courier New" w:hAnsi="Courier New" w:cs="Courier New" w:hint="default"/>
      </w:rPr>
    </w:lvl>
    <w:lvl w:ilvl="8" w:tplc="10090005" w:tentative="1">
      <w:start w:val="1"/>
      <w:numFmt w:val="bullet"/>
      <w:lvlText w:val=""/>
      <w:lvlJc w:val="left"/>
      <w:pPr>
        <w:ind w:left="6916" w:hanging="360"/>
      </w:pPr>
      <w:rPr>
        <w:rFonts w:ascii="Wingdings" w:hAnsi="Wingdings" w:hint="default"/>
      </w:rPr>
    </w:lvl>
  </w:abstractNum>
  <w:abstractNum w:abstractNumId="6" w15:restartNumberingAfterBreak="0">
    <w:nsid w:val="370F69F0"/>
    <w:multiLevelType w:val="hybridMultilevel"/>
    <w:tmpl w:val="D4762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107603"/>
    <w:multiLevelType w:val="hybridMultilevel"/>
    <w:tmpl w:val="898E9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0678FD"/>
    <w:multiLevelType w:val="hybridMultilevel"/>
    <w:tmpl w:val="5464D9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FD80CEF"/>
    <w:multiLevelType w:val="hybridMultilevel"/>
    <w:tmpl w:val="C22C8B18"/>
    <w:lvl w:ilvl="0" w:tplc="10090003">
      <w:start w:val="1"/>
      <w:numFmt w:val="bullet"/>
      <w:lvlText w:val="o"/>
      <w:lvlJc w:val="left"/>
      <w:pPr>
        <w:ind w:left="1156" w:hanging="360"/>
      </w:pPr>
      <w:rPr>
        <w:rFonts w:ascii="Courier New" w:hAnsi="Courier New" w:cs="Courier New" w:hint="default"/>
      </w:rPr>
    </w:lvl>
    <w:lvl w:ilvl="1" w:tplc="10090003" w:tentative="1">
      <w:start w:val="1"/>
      <w:numFmt w:val="bullet"/>
      <w:lvlText w:val="o"/>
      <w:lvlJc w:val="left"/>
      <w:pPr>
        <w:ind w:left="1876" w:hanging="360"/>
      </w:pPr>
      <w:rPr>
        <w:rFonts w:ascii="Courier New" w:hAnsi="Courier New" w:cs="Courier New" w:hint="default"/>
      </w:rPr>
    </w:lvl>
    <w:lvl w:ilvl="2" w:tplc="10090005" w:tentative="1">
      <w:start w:val="1"/>
      <w:numFmt w:val="bullet"/>
      <w:lvlText w:val=""/>
      <w:lvlJc w:val="left"/>
      <w:pPr>
        <w:ind w:left="2596" w:hanging="360"/>
      </w:pPr>
      <w:rPr>
        <w:rFonts w:ascii="Wingdings" w:hAnsi="Wingdings" w:hint="default"/>
      </w:rPr>
    </w:lvl>
    <w:lvl w:ilvl="3" w:tplc="10090001" w:tentative="1">
      <w:start w:val="1"/>
      <w:numFmt w:val="bullet"/>
      <w:lvlText w:val=""/>
      <w:lvlJc w:val="left"/>
      <w:pPr>
        <w:ind w:left="3316" w:hanging="360"/>
      </w:pPr>
      <w:rPr>
        <w:rFonts w:ascii="Symbol" w:hAnsi="Symbol" w:hint="default"/>
      </w:rPr>
    </w:lvl>
    <w:lvl w:ilvl="4" w:tplc="10090003" w:tentative="1">
      <w:start w:val="1"/>
      <w:numFmt w:val="bullet"/>
      <w:lvlText w:val="o"/>
      <w:lvlJc w:val="left"/>
      <w:pPr>
        <w:ind w:left="4036" w:hanging="360"/>
      </w:pPr>
      <w:rPr>
        <w:rFonts w:ascii="Courier New" w:hAnsi="Courier New" w:cs="Courier New" w:hint="default"/>
      </w:rPr>
    </w:lvl>
    <w:lvl w:ilvl="5" w:tplc="10090005" w:tentative="1">
      <w:start w:val="1"/>
      <w:numFmt w:val="bullet"/>
      <w:lvlText w:val=""/>
      <w:lvlJc w:val="left"/>
      <w:pPr>
        <w:ind w:left="4756" w:hanging="360"/>
      </w:pPr>
      <w:rPr>
        <w:rFonts w:ascii="Wingdings" w:hAnsi="Wingdings" w:hint="default"/>
      </w:rPr>
    </w:lvl>
    <w:lvl w:ilvl="6" w:tplc="10090001" w:tentative="1">
      <w:start w:val="1"/>
      <w:numFmt w:val="bullet"/>
      <w:lvlText w:val=""/>
      <w:lvlJc w:val="left"/>
      <w:pPr>
        <w:ind w:left="5476" w:hanging="360"/>
      </w:pPr>
      <w:rPr>
        <w:rFonts w:ascii="Symbol" w:hAnsi="Symbol" w:hint="default"/>
      </w:rPr>
    </w:lvl>
    <w:lvl w:ilvl="7" w:tplc="10090003" w:tentative="1">
      <w:start w:val="1"/>
      <w:numFmt w:val="bullet"/>
      <w:lvlText w:val="o"/>
      <w:lvlJc w:val="left"/>
      <w:pPr>
        <w:ind w:left="6196" w:hanging="360"/>
      </w:pPr>
      <w:rPr>
        <w:rFonts w:ascii="Courier New" w:hAnsi="Courier New" w:cs="Courier New" w:hint="default"/>
      </w:rPr>
    </w:lvl>
    <w:lvl w:ilvl="8" w:tplc="10090005" w:tentative="1">
      <w:start w:val="1"/>
      <w:numFmt w:val="bullet"/>
      <w:lvlText w:val=""/>
      <w:lvlJc w:val="left"/>
      <w:pPr>
        <w:ind w:left="6916" w:hanging="360"/>
      </w:pPr>
      <w:rPr>
        <w:rFonts w:ascii="Wingdings" w:hAnsi="Wingdings" w:hint="default"/>
      </w:rPr>
    </w:lvl>
  </w:abstractNum>
  <w:abstractNum w:abstractNumId="10" w15:restartNumberingAfterBreak="0">
    <w:nsid w:val="7A590B6A"/>
    <w:multiLevelType w:val="hybridMultilevel"/>
    <w:tmpl w:val="32C4E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65027873">
    <w:abstractNumId w:val="4"/>
  </w:num>
  <w:num w:numId="2" w16cid:durableId="2069910779">
    <w:abstractNumId w:val="2"/>
  </w:num>
  <w:num w:numId="3" w16cid:durableId="674377965">
    <w:abstractNumId w:val="1"/>
  </w:num>
  <w:num w:numId="4" w16cid:durableId="1409305765">
    <w:abstractNumId w:val="9"/>
  </w:num>
  <w:num w:numId="5" w16cid:durableId="1243249415">
    <w:abstractNumId w:val="6"/>
  </w:num>
  <w:num w:numId="6" w16cid:durableId="1374497365">
    <w:abstractNumId w:val="0"/>
  </w:num>
  <w:num w:numId="7" w16cid:durableId="1539275454">
    <w:abstractNumId w:val="3"/>
  </w:num>
  <w:num w:numId="8" w16cid:durableId="87821430">
    <w:abstractNumId w:val="5"/>
  </w:num>
  <w:num w:numId="9" w16cid:durableId="1857230614">
    <w:abstractNumId w:val="7"/>
  </w:num>
  <w:num w:numId="10" w16cid:durableId="1154568655">
    <w:abstractNumId w:val="8"/>
  </w:num>
  <w:num w:numId="11" w16cid:durableId="1445543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3"/>
    <w:rsid w:val="00050852"/>
    <w:rsid w:val="000E7CA1"/>
    <w:rsid w:val="00126458"/>
    <w:rsid w:val="001D088F"/>
    <w:rsid w:val="00B8446F"/>
    <w:rsid w:val="00D31843"/>
    <w:rsid w:val="00E908F4"/>
    <w:rsid w:val="00F225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911C"/>
  <w15:chartTrackingRefBased/>
  <w15:docId w15:val="{A5E3A09B-1CDB-4537-AEB2-4127C5FB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8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31843"/>
    <w:rPr>
      <w:color w:val="0000FF"/>
      <w:u w:val="single"/>
    </w:rPr>
  </w:style>
  <w:style w:type="paragraph" w:styleId="Header">
    <w:name w:val="header"/>
    <w:basedOn w:val="Normal"/>
    <w:link w:val="HeaderChar"/>
    <w:uiPriority w:val="99"/>
    <w:unhideWhenUsed/>
    <w:rsid w:val="000E7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A1"/>
  </w:style>
  <w:style w:type="paragraph" w:styleId="Footer">
    <w:name w:val="footer"/>
    <w:basedOn w:val="Normal"/>
    <w:link w:val="FooterChar"/>
    <w:uiPriority w:val="99"/>
    <w:unhideWhenUsed/>
    <w:rsid w:val="000E7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A1"/>
  </w:style>
  <w:style w:type="paragraph" w:styleId="ListParagraph">
    <w:name w:val="List Paragraph"/>
    <w:basedOn w:val="Normal"/>
    <w:uiPriority w:val="34"/>
    <w:qFormat/>
    <w:rsid w:val="000E7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ne.dixon@tdsb.on.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dsb.on.ca/Community/How-to-Get-Involved/Advisory-Committees/Statutory-Advisory-Committees/Special-Education-Advisory-Committee" TargetMode="External"/><Relationship Id="rId12" Type="http://schemas.openxmlformats.org/officeDocument/2006/relationships/hyperlink" Target="mailto:lianne.dixon@tdsb.on.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dsb.on.ca/Community/How-to-Get-Involved/Advisory-Committees/Statutory-Advisory-Committees/Special-Education-Advisory-Committ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anne.dixon@tdsb.on.ca" TargetMode="External"/><Relationship Id="rId4" Type="http://schemas.openxmlformats.org/officeDocument/2006/relationships/webSettings" Target="webSettings.xml"/><Relationship Id="rId9" Type="http://schemas.openxmlformats.org/officeDocument/2006/relationships/hyperlink" Target="mailto:lianne.dixon@tdsb.on.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dc:creator>
  <cp:keywords/>
  <dc:description/>
  <cp:lastModifiedBy>Lianne</cp:lastModifiedBy>
  <cp:revision>2</cp:revision>
  <dcterms:created xsi:type="dcterms:W3CDTF">2022-09-15T12:45:00Z</dcterms:created>
  <dcterms:modified xsi:type="dcterms:W3CDTF">2022-09-15T12:45:00Z</dcterms:modified>
</cp:coreProperties>
</file>